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CBD38" w14:textId="39DDA876" w:rsidR="0097606F" w:rsidRDefault="00064809" w:rsidP="00E92761">
      <w:bookmarkStart w:id="0" w:name="_Toc386469674"/>
      <w:r>
        <w:rPr>
          <w:noProof/>
        </w:rPr>
        <w:drawing>
          <wp:inline distT="0" distB="0" distL="0" distR="0" wp14:anchorId="0794864C" wp14:editId="6A03ABCF">
            <wp:extent cx="6470650" cy="2042931"/>
            <wp:effectExtent l="0" t="0" r="635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building Foap.jpg"/>
                    <pic:cNvPicPr/>
                  </pic:nvPicPr>
                  <pic:blipFill rotWithShape="1">
                    <a:blip r:embed="rId8" cstate="print">
                      <a:extLst>
                        <a:ext uri="{28A0092B-C50C-407E-A947-70E740481C1C}">
                          <a14:useLocalDpi xmlns:a14="http://schemas.microsoft.com/office/drawing/2010/main" val="0"/>
                        </a:ext>
                      </a:extLst>
                    </a:blip>
                    <a:srcRect t="30768" b="22059"/>
                    <a:stretch/>
                  </pic:blipFill>
                  <pic:spPr bwMode="auto">
                    <a:xfrm>
                      <a:off x="0" y="0"/>
                      <a:ext cx="6493482" cy="2050139"/>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68EB9E69" w14:textId="77BA1FC0" w:rsidR="00063433" w:rsidRPr="00E713DC" w:rsidRDefault="0058209B" w:rsidP="00063433">
      <w:pPr>
        <w:pStyle w:val="Overskrift1"/>
        <w:rPr>
          <w:lang w:val="en-US"/>
        </w:rPr>
      </w:pPr>
      <w:r w:rsidRPr="0058209B">
        <w:rPr>
          <w:lang w:val="en-US"/>
        </w:rPr>
        <w:t xml:space="preserve">Clean Energy Package – </w:t>
      </w:r>
      <w:r>
        <w:rPr>
          <w:lang w:val="en-US"/>
        </w:rPr>
        <w:t>P</w:t>
      </w:r>
      <w:r w:rsidRPr="0058209B">
        <w:rPr>
          <w:lang w:val="en-US"/>
        </w:rPr>
        <w:t>rice regulations in the retail market</w:t>
      </w:r>
    </w:p>
    <w:p w14:paraId="322911CA" w14:textId="3D3A54B9" w:rsidR="005B1F05" w:rsidRPr="00E713DC" w:rsidRDefault="0058209B" w:rsidP="00063433">
      <w:pPr>
        <w:pStyle w:val="Ingress"/>
        <w:rPr>
          <w:lang w:val="en-US"/>
        </w:rPr>
        <w:sectPr w:rsidR="005B1F05" w:rsidRPr="00E713DC" w:rsidSect="00E713DC">
          <w:headerReference w:type="even" r:id="rId9"/>
          <w:headerReference w:type="default" r:id="rId10"/>
          <w:footerReference w:type="even" r:id="rId11"/>
          <w:footerReference w:type="default" r:id="rId12"/>
          <w:headerReference w:type="first" r:id="rId13"/>
          <w:footerReference w:type="first" r:id="rId14"/>
          <w:pgSz w:w="11906" w:h="16838"/>
          <w:pgMar w:top="1418" w:right="851" w:bottom="1418" w:left="851" w:header="709" w:footer="709" w:gutter="0"/>
          <w:cols w:space="708"/>
          <w:docGrid w:linePitch="360"/>
        </w:sectPr>
      </w:pPr>
      <w:r w:rsidRPr="00AD5EC2">
        <w:t>In 2016, the EU Commission proposed broad reforms of EU energy legislation (</w:t>
      </w:r>
      <w:r w:rsidR="00A52D5E">
        <w:t xml:space="preserve">the </w:t>
      </w:r>
      <w:r w:rsidRPr="00AD5EC2">
        <w:t>Clean Energy Package). Included was a new provision in the Electricity Directive instructing Member States to</w:t>
      </w:r>
      <w:r w:rsidRPr="00360215">
        <w:t xml:space="preserve"> </w:t>
      </w:r>
      <w:r w:rsidRPr="00D763A0">
        <w:t xml:space="preserve">phase out government-regulated </w:t>
      </w:r>
      <w:r w:rsidRPr="00360215">
        <w:t xml:space="preserve">prices </w:t>
      </w:r>
      <w:r w:rsidR="00AD5EC2">
        <w:t xml:space="preserve">capped </w:t>
      </w:r>
      <w:r w:rsidRPr="00360215">
        <w:t>below cost</w:t>
      </w:r>
      <w:r w:rsidRPr="00D763A0">
        <w:t>s</w:t>
      </w:r>
      <w:r w:rsidR="00AD5EC2">
        <w:t>,</w:t>
      </w:r>
      <w:r w:rsidRPr="00360215">
        <w:t xml:space="preserve"> </w:t>
      </w:r>
      <w:r w:rsidRPr="00D763A0">
        <w:t xml:space="preserve">and to </w:t>
      </w:r>
      <w:r w:rsidRPr="00360215">
        <w:t xml:space="preserve">establish a roadmap for </w:t>
      </w:r>
      <w:r>
        <w:t xml:space="preserve">a five-year </w:t>
      </w:r>
      <w:r w:rsidRPr="00360215">
        <w:t>phas</w:t>
      </w:r>
      <w:r w:rsidRPr="00D763A0">
        <w:t>e</w:t>
      </w:r>
      <w:r w:rsidRPr="00360215">
        <w:t>-out of all regulated</w:t>
      </w:r>
      <w:r w:rsidRPr="00D763A0">
        <w:t xml:space="preserve"> prices. Negotiations in the Council and </w:t>
      </w:r>
      <w:r w:rsidR="007870A5">
        <w:t xml:space="preserve">European </w:t>
      </w:r>
      <w:r w:rsidRPr="00D763A0">
        <w:t xml:space="preserve">Parliament and in </w:t>
      </w:r>
      <w:proofErr w:type="spellStart"/>
      <w:r w:rsidR="007870A5">
        <w:t>t</w:t>
      </w:r>
      <w:r w:rsidRPr="00D763A0">
        <w:t>rilogue</w:t>
      </w:r>
      <w:proofErr w:type="spellEnd"/>
      <w:r w:rsidRPr="00D763A0">
        <w:t xml:space="preserve"> </w:t>
      </w:r>
      <w:r>
        <w:t xml:space="preserve">ended with </w:t>
      </w:r>
      <w:r w:rsidRPr="00D763A0">
        <w:t>a much-altered provision.</w:t>
      </w:r>
      <w:r w:rsidR="00AD5EC2">
        <w:t xml:space="preserve"> The result </w:t>
      </w:r>
      <w:r w:rsidR="00A52D5E">
        <w:t>is</w:t>
      </w:r>
      <w:r w:rsidR="00AD5EC2">
        <w:t xml:space="preserve"> a clear blow to the Commissions efforts to introduce market-based pricing in the retail markets.</w:t>
      </w:r>
    </w:p>
    <w:p w14:paraId="6C9C3E95" w14:textId="77777777" w:rsidR="00B4028F" w:rsidRDefault="0058209B" w:rsidP="00B4028F">
      <w:pPr>
        <w:pStyle w:val="Overskrift2"/>
        <w:rPr>
          <w:lang w:val="en-US"/>
        </w:rPr>
      </w:pPr>
      <w:r>
        <w:rPr>
          <w:lang w:val="en-US"/>
        </w:rPr>
        <w:t>The Commission proposal</w:t>
      </w:r>
    </w:p>
    <w:p w14:paraId="4119CFEB" w14:textId="7695543B" w:rsidR="00D74000" w:rsidRPr="003E3936" w:rsidRDefault="00D74000" w:rsidP="003E3936">
      <w:r>
        <w:t xml:space="preserve">Price regulation </w:t>
      </w:r>
      <w:r w:rsidR="00AD5EC2">
        <w:t xml:space="preserve">of retail prices </w:t>
      </w:r>
      <w:r>
        <w:t xml:space="preserve">was regarded by the Commission as fundamentally at odds with the core principle for </w:t>
      </w:r>
      <w:r w:rsidR="00AD5EC2">
        <w:t xml:space="preserve">efficient electricity </w:t>
      </w:r>
      <w:r>
        <w:t>market</w:t>
      </w:r>
      <w:r w:rsidR="00AD5EC2">
        <w:t>s</w:t>
      </w:r>
      <w:r>
        <w:t xml:space="preserve">, namely that prices should be formed based on demand and supply (Article 3a in the Electricity Regulation). </w:t>
      </w:r>
      <w:r w:rsidR="00C8466D">
        <w:t xml:space="preserve">In 2013, </w:t>
      </w:r>
      <w:r w:rsidRPr="00596DD5">
        <w:t xml:space="preserve">ACER monitoring of </w:t>
      </w:r>
      <w:r w:rsidR="00C8466D">
        <w:t xml:space="preserve">the </w:t>
      </w:r>
      <w:r w:rsidRPr="00596DD5">
        <w:t xml:space="preserve">Internal Energy Market </w:t>
      </w:r>
      <w:r>
        <w:t>show</w:t>
      </w:r>
      <w:r w:rsidR="00C8466D">
        <w:t>ed</w:t>
      </w:r>
      <w:r>
        <w:t xml:space="preserve"> </w:t>
      </w:r>
      <w:r w:rsidRPr="00596DD5">
        <w:t>that 1</w:t>
      </w:r>
      <w:r>
        <w:t>2</w:t>
      </w:r>
      <w:r w:rsidRPr="00596DD5">
        <w:t xml:space="preserve"> out of 28 </w:t>
      </w:r>
      <w:r>
        <w:t>M</w:t>
      </w:r>
      <w:r w:rsidRPr="00596DD5">
        <w:t xml:space="preserve">ember </w:t>
      </w:r>
      <w:r>
        <w:t>S</w:t>
      </w:r>
      <w:r w:rsidRPr="00596DD5">
        <w:t xml:space="preserve">tates </w:t>
      </w:r>
      <w:r>
        <w:t xml:space="preserve">(MS) still </w:t>
      </w:r>
      <w:r w:rsidR="00C8466D">
        <w:t xml:space="preserve">regulated </w:t>
      </w:r>
      <w:r w:rsidR="00AD5EC2">
        <w:t xml:space="preserve">retail </w:t>
      </w:r>
      <w:r w:rsidRPr="00596DD5">
        <w:t>price</w:t>
      </w:r>
      <w:r w:rsidR="00C8466D">
        <w:t xml:space="preserve">s, and moreover </w:t>
      </w:r>
      <w:r w:rsidR="00AD5EC2">
        <w:t xml:space="preserve">that prices were </w:t>
      </w:r>
      <w:r w:rsidR="003A4325">
        <w:t xml:space="preserve">rising and </w:t>
      </w:r>
      <w:r w:rsidR="003E3936" w:rsidRPr="003E3936">
        <w:t>var</w:t>
      </w:r>
      <w:r w:rsidR="00AD5EC2">
        <w:t xml:space="preserve">ied </w:t>
      </w:r>
      <w:r w:rsidR="003E3936" w:rsidRPr="003E3936">
        <w:t xml:space="preserve">significantly </w:t>
      </w:r>
      <w:r w:rsidR="003E3936">
        <w:t>between MS</w:t>
      </w:r>
      <w:r w:rsidR="003E3936" w:rsidRPr="003E3936">
        <w:t xml:space="preserve"> </w:t>
      </w:r>
      <w:r w:rsidR="00AD5EC2">
        <w:t xml:space="preserve">due to </w:t>
      </w:r>
      <w:r w:rsidR="003E3936" w:rsidRPr="003E3936">
        <w:t>non-market</w:t>
      </w:r>
      <w:r w:rsidR="003E3936">
        <w:t xml:space="preserve"> </w:t>
      </w:r>
      <w:r w:rsidR="003E3936" w:rsidRPr="003E3936">
        <w:t>reasons</w:t>
      </w:r>
      <w:r w:rsidR="00AD5EC2">
        <w:t>, such as</w:t>
      </w:r>
      <w:r w:rsidR="003A4325">
        <w:t xml:space="preserve"> </w:t>
      </w:r>
      <w:r w:rsidR="003E3936" w:rsidRPr="003E3936">
        <w:t xml:space="preserve">network charges, </w:t>
      </w:r>
      <w:r w:rsidR="003A4325">
        <w:t xml:space="preserve">government </w:t>
      </w:r>
      <w:r w:rsidR="003E3936" w:rsidRPr="003E3936">
        <w:t>taxes</w:t>
      </w:r>
      <w:r w:rsidR="00AD5EC2">
        <w:t>,</w:t>
      </w:r>
      <w:r w:rsidR="003E3936" w:rsidRPr="003E3936">
        <w:t xml:space="preserve"> and levies.</w:t>
      </w:r>
      <w:r w:rsidR="003A4325">
        <w:t xml:space="preserve"> Th</w:t>
      </w:r>
      <w:r w:rsidR="00D74CEF">
        <w:t xml:space="preserve">e Commission feared </w:t>
      </w:r>
      <w:r w:rsidR="00AD5EC2">
        <w:t xml:space="preserve">that </w:t>
      </w:r>
      <w:r w:rsidR="00D74CEF">
        <w:t xml:space="preserve">increasing non-contestable charges </w:t>
      </w:r>
      <w:r w:rsidR="00AD5EC2">
        <w:t xml:space="preserve">would </w:t>
      </w:r>
      <w:r w:rsidR="00D74CEF">
        <w:t>reduce consumer</w:t>
      </w:r>
      <w:r w:rsidR="00AD5EC2">
        <w:t>s’</w:t>
      </w:r>
      <w:r w:rsidR="00D74CEF">
        <w:t xml:space="preserve"> interest in supplier</w:t>
      </w:r>
      <w:r w:rsidR="00AD5EC2">
        <w:t xml:space="preserve"> </w:t>
      </w:r>
      <w:r w:rsidR="00D74CEF">
        <w:t>s</w:t>
      </w:r>
      <w:r w:rsidR="00AD5EC2">
        <w:t xml:space="preserve">witching and weaken the competitive pressure in retail markets. </w:t>
      </w:r>
    </w:p>
    <w:p w14:paraId="164A3288" w14:textId="7FE81A05" w:rsidR="00D74000" w:rsidRDefault="00D74000" w:rsidP="00D74000">
      <w:r w:rsidRPr="005343E5">
        <w:t xml:space="preserve">The Commission acknowledged that for many </w:t>
      </w:r>
      <w:r>
        <w:t>MS</w:t>
      </w:r>
      <w:r w:rsidRPr="005343E5">
        <w:t xml:space="preserve">, price regulations were motivated by ‘energy poverty’, referring to households with electricity bill payment problems. </w:t>
      </w:r>
      <w:r w:rsidR="00C8466D">
        <w:t xml:space="preserve">Energy poverty in the EU </w:t>
      </w:r>
      <w:r w:rsidRPr="005343E5">
        <w:t xml:space="preserve">was on the rise because of generally increasing poverty levels. </w:t>
      </w:r>
    </w:p>
    <w:p w14:paraId="37813BD0" w14:textId="683DB1CB" w:rsidR="00D74000" w:rsidRDefault="00C8466D" w:rsidP="00D74000">
      <w:r>
        <w:t>In the Clean Energy Package, t</w:t>
      </w:r>
      <w:r w:rsidR="00D74000" w:rsidRPr="00FB0801">
        <w:t>he Commission propos</w:t>
      </w:r>
      <w:r>
        <w:t xml:space="preserve">ed to </w:t>
      </w:r>
      <w:r w:rsidR="003E3936">
        <w:t>separate</w:t>
      </w:r>
      <w:r>
        <w:t xml:space="preserve"> measures towards </w:t>
      </w:r>
      <w:r w:rsidR="003E3936">
        <w:t>price regulation and energy poverty</w:t>
      </w:r>
      <w:r w:rsidR="00D74000" w:rsidRPr="005343E5">
        <w:t xml:space="preserve">; </w:t>
      </w:r>
    </w:p>
    <w:p w14:paraId="73E05B13" w14:textId="77777777" w:rsidR="00D74000" w:rsidRDefault="00D74000" w:rsidP="00D74000">
      <w:pPr>
        <w:pStyle w:val="Punktliste"/>
      </w:pPr>
      <w:r w:rsidRPr="005343E5">
        <w:t>Article 5 (paragraph 2) stated</w:t>
      </w:r>
      <w:r>
        <w:t xml:space="preserve"> that as a main rule, price regulations should not be used to address energy poverty</w:t>
      </w:r>
      <w:r w:rsidRPr="005343E5">
        <w:t xml:space="preserve">: </w:t>
      </w:r>
      <w:r w:rsidRPr="00D74000">
        <w:rPr>
          <w:i/>
        </w:rPr>
        <w:t>“Member States shall ensure the protection of energy poor or vulnerable customers in a targeted manner by other means than public interventions in the price-setting for the supply of electricity.”</w:t>
      </w:r>
      <w:r w:rsidRPr="005343E5">
        <w:t xml:space="preserve"> </w:t>
      </w:r>
    </w:p>
    <w:p w14:paraId="0112D0CE" w14:textId="77777777" w:rsidR="00D74000" w:rsidRPr="005343E5" w:rsidRDefault="00D74000" w:rsidP="00D74000">
      <w:pPr>
        <w:pStyle w:val="Punktliste"/>
      </w:pPr>
      <w:r w:rsidRPr="005343E5">
        <w:t xml:space="preserve">Paragraphs 3 and 4 stated conditions for derogations within and after the five-year phase-out period. After this point: </w:t>
      </w:r>
      <w:r w:rsidRPr="00D74000">
        <w:rPr>
          <w:i/>
        </w:rPr>
        <w:t xml:space="preserve">“… the Member States may still apply public interventions in the price-setting for the supply of electricity for vulnerable household </w:t>
      </w:r>
      <w:r w:rsidRPr="00D74000">
        <w:rPr>
          <w:i/>
        </w:rPr>
        <w:t>customers in so far as it is strictly necessary for reasons of extreme urgency.”</w:t>
      </w:r>
    </w:p>
    <w:p w14:paraId="49E12DB3" w14:textId="5C21B48A" w:rsidR="00D74000" w:rsidRDefault="00D74000" w:rsidP="00D74000">
      <w:r>
        <w:t xml:space="preserve">To deal </w:t>
      </w:r>
      <w:r w:rsidR="00CE62EB">
        <w:t xml:space="preserve">further </w:t>
      </w:r>
      <w:r>
        <w:t>with the rising levels of energy poverty, the Electricity Directive included separate articles on vulnerable customers (Article 28) and energy poverty (Article 29) and cross-refer</w:t>
      </w:r>
      <w:r w:rsidR="00CE62EB">
        <w:t>enced</w:t>
      </w:r>
      <w:r>
        <w:t xml:space="preserve"> to the Governance Regulation. According to the Governance Regulation</w:t>
      </w:r>
      <w:r w:rsidR="00CE62EB">
        <w:t xml:space="preserve"> (Article 21)</w:t>
      </w:r>
      <w:r>
        <w:t>, M</w:t>
      </w:r>
      <w:r w:rsidRPr="00D72B6C">
        <w:t xml:space="preserve">ember </w:t>
      </w:r>
      <w:r>
        <w:t>S</w:t>
      </w:r>
      <w:r w:rsidRPr="00D72B6C">
        <w:t xml:space="preserve">tates </w:t>
      </w:r>
      <w:r>
        <w:t xml:space="preserve">should </w:t>
      </w:r>
      <w:r w:rsidRPr="00D72B6C">
        <w:t xml:space="preserve">continuously monitor </w:t>
      </w:r>
      <w:r>
        <w:t xml:space="preserve">energy poverty </w:t>
      </w:r>
      <w:r w:rsidRPr="00D72B6C">
        <w:t>and report on how they intended to solve it by other means than price regulation</w:t>
      </w:r>
      <w:r w:rsidR="00C8466D">
        <w:t>,</w:t>
      </w:r>
      <w:r w:rsidRPr="003805BA">
        <w:t xml:space="preserve"> </w:t>
      </w:r>
      <w:r>
        <w:t xml:space="preserve">through measures </w:t>
      </w:r>
      <w:r w:rsidRPr="003805BA">
        <w:t>such as national energy action plans, benefits in social security systems</w:t>
      </w:r>
      <w:r>
        <w:t>,</w:t>
      </w:r>
      <w:r w:rsidRPr="003805BA">
        <w:t xml:space="preserve"> or </w:t>
      </w:r>
      <w:r>
        <w:t>targeted</w:t>
      </w:r>
      <w:r w:rsidRPr="003805BA">
        <w:t xml:space="preserve"> support </w:t>
      </w:r>
      <w:r w:rsidR="00CE62EB">
        <w:t xml:space="preserve">schemes </w:t>
      </w:r>
      <w:r w:rsidRPr="003805BA">
        <w:t>for energy efficiency improvements</w:t>
      </w:r>
      <w:r w:rsidRPr="00412F98">
        <w:t xml:space="preserve">. </w:t>
      </w:r>
    </w:p>
    <w:p w14:paraId="5EA31514" w14:textId="49DC9B02" w:rsidR="00D74000" w:rsidRPr="000926B0" w:rsidRDefault="00C8466D" w:rsidP="00D74000">
      <w:r>
        <w:t>T</w:t>
      </w:r>
      <w:r w:rsidR="00D74000">
        <w:t xml:space="preserve">he Governance Regulation </w:t>
      </w:r>
      <w:r>
        <w:t xml:space="preserve">(Article 21) </w:t>
      </w:r>
      <w:r w:rsidR="00D74000">
        <w:t>proposed that progress on objectives for energy poverty should be included in the biannual Integrated National Energy and Climate Progress Reports. Cross-reference was also made to t</w:t>
      </w:r>
      <w:r w:rsidR="00D74000" w:rsidRPr="00AE0BCB">
        <w:t>he revised Energy Efficiency and Energy Performance of Building</w:t>
      </w:r>
      <w:r w:rsidR="00D74000">
        <w:t>s</w:t>
      </w:r>
      <w:r w:rsidR="00D74000" w:rsidRPr="00AE0BCB">
        <w:t xml:space="preserve"> Directives</w:t>
      </w:r>
      <w:r w:rsidR="00D74000">
        <w:t xml:space="preserve"> to</w:t>
      </w:r>
      <w:r w:rsidR="00D74000" w:rsidRPr="00AE0BCB">
        <w:t xml:space="preserve"> provide for further measures to tackle energy poverty.</w:t>
      </w:r>
    </w:p>
    <w:p w14:paraId="316C7888" w14:textId="77777777" w:rsidR="00D74000" w:rsidRPr="001B5CCE" w:rsidRDefault="00D74000" w:rsidP="00D74000">
      <w:pPr>
        <w:pStyle w:val="Overskrift2"/>
        <w:jc w:val="left"/>
      </w:pPr>
      <w:r w:rsidRPr="001B5CCE">
        <w:t xml:space="preserve">The agreement </w:t>
      </w:r>
      <w:r>
        <w:t xml:space="preserve">after </w:t>
      </w:r>
      <w:proofErr w:type="spellStart"/>
      <w:r>
        <w:t>trilogue</w:t>
      </w:r>
      <w:proofErr w:type="spellEnd"/>
    </w:p>
    <w:p w14:paraId="2958D233" w14:textId="2F337F88" w:rsidR="00D74000" w:rsidRPr="003A4325" w:rsidRDefault="00D74000" w:rsidP="00D74000">
      <w:r>
        <w:t xml:space="preserve">The adopted Article 5 in the Electricity Directive differed substantially from the Commission proposal. Paragraph 2 maintained as the general principle that: </w:t>
      </w:r>
      <w:r w:rsidR="00CE62EB">
        <w:t>“</w:t>
      </w:r>
      <w:r w:rsidRPr="00CE62EB">
        <w:rPr>
          <w:i/>
        </w:rPr>
        <w:t xml:space="preserve">MSs shall ensure the protection of energy poor or vulnerable </w:t>
      </w:r>
      <w:r w:rsidRPr="00CE62EB">
        <w:rPr>
          <w:bCs/>
          <w:i/>
          <w:iCs/>
        </w:rPr>
        <w:t xml:space="preserve">household </w:t>
      </w:r>
      <w:r w:rsidRPr="00CE62EB">
        <w:rPr>
          <w:i/>
        </w:rPr>
        <w:t xml:space="preserve">customers </w:t>
      </w:r>
      <w:r w:rsidRPr="00CE62EB">
        <w:rPr>
          <w:bCs/>
          <w:i/>
          <w:iCs/>
        </w:rPr>
        <w:t xml:space="preserve">pursuant to Articles 28 and 29 </w:t>
      </w:r>
      <w:r w:rsidRPr="00CE62EB">
        <w:rPr>
          <w:i/>
        </w:rPr>
        <w:t xml:space="preserve">by </w:t>
      </w:r>
      <w:r w:rsidRPr="00CE62EB">
        <w:rPr>
          <w:bCs/>
          <w:i/>
          <w:iCs/>
        </w:rPr>
        <w:t xml:space="preserve">social policy or </w:t>
      </w:r>
      <w:r w:rsidRPr="00CE62EB">
        <w:rPr>
          <w:i/>
        </w:rPr>
        <w:t>other means than public interventions in the price setting for the supply of electricity.</w:t>
      </w:r>
      <w:r w:rsidR="00CE62EB">
        <w:rPr>
          <w:i/>
        </w:rPr>
        <w:t>”</w:t>
      </w:r>
      <w:r w:rsidRPr="003A4325">
        <w:t xml:space="preserve"> </w:t>
      </w:r>
    </w:p>
    <w:p w14:paraId="4F84AB5E" w14:textId="65B05C25" w:rsidR="00D74000" w:rsidRDefault="00D74000" w:rsidP="00D74000">
      <w:r>
        <w:t xml:space="preserve">However, paragraph 4 extended the opportunities for derogation to include not only households but also microenterprises, </w:t>
      </w:r>
      <w:r w:rsidR="00CE62EB">
        <w:t xml:space="preserve">and to </w:t>
      </w:r>
      <w:r>
        <w:t>cases motivated by</w:t>
      </w:r>
      <w:r w:rsidR="00CE62EB">
        <w:t xml:space="preserve"> a</w:t>
      </w:r>
      <w:r>
        <w:t xml:space="preserve"> lack of competitive pricing in the retail market. A set of conditions for price interventions were added: they </w:t>
      </w:r>
      <w:bookmarkStart w:id="1" w:name="_GoBack"/>
      <w:r>
        <w:lastRenderedPageBreak/>
        <w:t xml:space="preserve">should be limited in time, prices should be </w:t>
      </w:r>
      <w:r w:rsidR="003A4325">
        <w:t xml:space="preserve">set at a level </w:t>
      </w:r>
      <w:r>
        <w:t xml:space="preserve">above costs, and measures should be implemented to achieve effective competition if a lack of such was the motivation for price regulation. </w:t>
      </w:r>
    </w:p>
    <w:p w14:paraId="2FAF21DF" w14:textId="77777777" w:rsidR="00D74000" w:rsidRPr="00E2396C" w:rsidRDefault="00D74000" w:rsidP="00D74000">
      <w:r w:rsidRPr="009A2F94">
        <w:rPr>
          <w:bCs/>
          <w:iCs/>
        </w:rPr>
        <w:t xml:space="preserve">The proposed </w:t>
      </w:r>
      <w:r>
        <w:rPr>
          <w:bCs/>
          <w:iCs/>
        </w:rPr>
        <w:t xml:space="preserve">end-date for </w:t>
      </w:r>
      <w:r w:rsidRPr="009A2F94">
        <w:rPr>
          <w:bCs/>
          <w:iCs/>
        </w:rPr>
        <w:t xml:space="preserve">price regulations was </w:t>
      </w:r>
      <w:r>
        <w:rPr>
          <w:bCs/>
          <w:iCs/>
        </w:rPr>
        <w:t xml:space="preserve">not adopted but replaced by an </w:t>
      </w:r>
      <w:r w:rsidRPr="009A2F94">
        <w:rPr>
          <w:bCs/>
          <w:iCs/>
        </w:rPr>
        <w:t>instruct</w:t>
      </w:r>
      <w:r>
        <w:rPr>
          <w:bCs/>
          <w:iCs/>
        </w:rPr>
        <w:t xml:space="preserve">ion </w:t>
      </w:r>
      <w:r w:rsidRPr="009A2F94">
        <w:rPr>
          <w:bCs/>
          <w:iCs/>
        </w:rPr>
        <w:t>to report on implementation of price regulations</w:t>
      </w:r>
      <w:r w:rsidRPr="007A4D89">
        <w:rPr>
          <w:bCs/>
          <w:iCs/>
        </w:rPr>
        <w:t xml:space="preserve"> </w:t>
      </w:r>
      <w:r w:rsidRPr="009A2F94">
        <w:rPr>
          <w:bCs/>
          <w:iCs/>
        </w:rPr>
        <w:t>in 2022 and 2025</w:t>
      </w:r>
      <w:r>
        <w:rPr>
          <w:bCs/>
          <w:iCs/>
        </w:rPr>
        <w:t xml:space="preserve">, why </w:t>
      </w:r>
      <w:r w:rsidRPr="009A2F94">
        <w:rPr>
          <w:bCs/>
          <w:iCs/>
        </w:rPr>
        <w:t xml:space="preserve">these would </w:t>
      </w:r>
      <w:r>
        <w:rPr>
          <w:bCs/>
          <w:iCs/>
        </w:rPr>
        <w:t xml:space="preserve">(still) </w:t>
      </w:r>
      <w:r w:rsidRPr="009A2F94">
        <w:rPr>
          <w:bCs/>
          <w:iCs/>
        </w:rPr>
        <w:t>be needed</w:t>
      </w:r>
      <w:r>
        <w:rPr>
          <w:bCs/>
          <w:iCs/>
        </w:rPr>
        <w:t xml:space="preserve"> </w:t>
      </w:r>
      <w:r w:rsidRPr="009A2F94">
        <w:rPr>
          <w:bCs/>
          <w:iCs/>
        </w:rPr>
        <w:t xml:space="preserve">and </w:t>
      </w:r>
      <w:r>
        <w:rPr>
          <w:bCs/>
          <w:iCs/>
        </w:rPr>
        <w:t xml:space="preserve">on the plans for </w:t>
      </w:r>
      <w:r w:rsidRPr="009A2F94">
        <w:rPr>
          <w:bCs/>
          <w:iCs/>
        </w:rPr>
        <w:t xml:space="preserve">transition to market-based prices. </w:t>
      </w:r>
      <w:r>
        <w:rPr>
          <w:bCs/>
          <w:iCs/>
        </w:rPr>
        <w:t>T</w:t>
      </w:r>
      <w:r w:rsidRPr="009A2F94">
        <w:rPr>
          <w:bCs/>
          <w:iCs/>
        </w:rPr>
        <w:t xml:space="preserve">he Commission </w:t>
      </w:r>
      <w:r>
        <w:rPr>
          <w:bCs/>
          <w:iCs/>
        </w:rPr>
        <w:t xml:space="preserve">was instructed to report </w:t>
      </w:r>
      <w:r w:rsidRPr="009A2F94">
        <w:rPr>
          <w:bCs/>
          <w:iCs/>
        </w:rPr>
        <w:t>on implementation of Article 5</w:t>
      </w:r>
      <w:r w:rsidRPr="007A4D89">
        <w:rPr>
          <w:bCs/>
          <w:iCs/>
        </w:rPr>
        <w:t xml:space="preserve"> </w:t>
      </w:r>
      <w:r w:rsidRPr="009A2F94">
        <w:rPr>
          <w:bCs/>
          <w:iCs/>
        </w:rPr>
        <w:t xml:space="preserve">by the end of 2025, </w:t>
      </w:r>
      <w:r w:rsidRPr="00E2396C">
        <w:rPr>
          <w:bCs/>
          <w:iCs/>
        </w:rPr>
        <w:t xml:space="preserve">followed by a legislative proposal, if appropriate, which may include an end date for regulated prices. </w:t>
      </w:r>
      <w:r w:rsidRPr="00E2396C">
        <w:t xml:space="preserve">   </w:t>
      </w:r>
    </w:p>
    <w:p w14:paraId="6CB330FD" w14:textId="6DE7A993" w:rsidR="00D74000" w:rsidRDefault="00CE62EB" w:rsidP="00D74000">
      <w:r>
        <w:t>The c</w:t>
      </w:r>
      <w:r w:rsidR="00D74000">
        <w:t>ross-references were maintained in the adopted Governance Regulation. Energy poverty provisions were changed to provide more detail on how MS should fight energy poverty, and obligations in the national energy and climate plan</w:t>
      </w:r>
      <w:r>
        <w:t xml:space="preserve"> were detailed</w:t>
      </w:r>
      <w:r w:rsidR="00D74000">
        <w:t>. Article 21 stated that national objectives to reduce the number of households in energy poverty should be indicative, that national progress reports should include quantitative information, and</w:t>
      </w:r>
      <w:r>
        <w:t>,</w:t>
      </w:r>
      <w:r w:rsidR="00D74000">
        <w:t xml:space="preserve"> where available, information on policies and measures. Data should be made available for the European Energy Poverty </w:t>
      </w:r>
      <w:proofErr w:type="spellStart"/>
      <w:r w:rsidR="00D74000" w:rsidRPr="00B110A5">
        <w:t>Observator</w:t>
      </w:r>
      <w:proofErr w:type="spellEnd"/>
      <w:r w:rsidR="00D74000" w:rsidRPr="00B110A5">
        <w:t>. Further details were also added to Article 3 that</w:t>
      </w:r>
      <w:r w:rsidR="00D74000">
        <w:t xml:space="preserve"> described the national plans in general terms</w:t>
      </w:r>
      <w:r w:rsidR="00D74000" w:rsidRPr="001F2911">
        <w:rPr>
          <w:b/>
          <w:bCs/>
          <w:i/>
          <w:iCs/>
        </w:rPr>
        <w:t>.</w:t>
      </w:r>
      <w:r w:rsidR="00D74000">
        <w:rPr>
          <w:b/>
          <w:bCs/>
          <w:i/>
          <w:iCs/>
        </w:rPr>
        <w:t xml:space="preserve"> </w:t>
      </w:r>
    </w:p>
    <w:p w14:paraId="316B56F7" w14:textId="063B212A" w:rsidR="00D74000" w:rsidRPr="00A6319F" w:rsidRDefault="004E3046" w:rsidP="00D74000">
      <w:pPr>
        <w:pStyle w:val="Overskrift2"/>
      </w:pPr>
      <w:r>
        <w:t>Why</w:t>
      </w:r>
      <w:r w:rsidR="00D74000">
        <w:t xml:space="preserve"> the</w:t>
      </w:r>
      <w:r w:rsidR="00D74000" w:rsidRPr="00A6319F">
        <w:t xml:space="preserve"> </w:t>
      </w:r>
      <w:r w:rsidR="00D74000">
        <w:t>changes</w:t>
      </w:r>
      <w:r>
        <w:t>?</w:t>
      </w:r>
      <w:r w:rsidR="00D74000">
        <w:t xml:space="preserve"> </w:t>
      </w:r>
    </w:p>
    <w:p w14:paraId="7DF421B6" w14:textId="4DB1CFBA" w:rsidR="00D74000" w:rsidRDefault="00D74000" w:rsidP="00D74000">
      <w:r>
        <w:t>The Commission</w:t>
      </w:r>
      <w:r w:rsidR="00CE62EB">
        <w:t>’s</w:t>
      </w:r>
      <w:r>
        <w:t xml:space="preserve"> efforts to keep price regulation and energy poverty </w:t>
      </w:r>
      <w:r w:rsidR="00CE62EB">
        <w:t xml:space="preserve">measures </w:t>
      </w:r>
      <w:r>
        <w:t xml:space="preserve">apart </w:t>
      </w:r>
      <w:proofErr w:type="gramStart"/>
      <w:r>
        <w:t>did not succeed</w:t>
      </w:r>
      <w:proofErr w:type="gramEnd"/>
      <w:r>
        <w:t xml:space="preserve"> – the strong linking was upheld in the negotiations, both in the Council and Parliament.</w:t>
      </w:r>
    </w:p>
    <w:p w14:paraId="19BE371C" w14:textId="397B0164" w:rsidR="00D74000" w:rsidRDefault="00D74000" w:rsidP="00D74000">
      <w:r>
        <w:t>The Council was deeply split on both proposals.</w:t>
      </w:r>
      <w:r w:rsidRPr="00232EC1">
        <w:t xml:space="preserve"> </w:t>
      </w:r>
      <w:r>
        <w:t>On one side were MS w</w:t>
      </w:r>
      <w:r w:rsidRPr="00232EC1">
        <w:t xml:space="preserve">ho wanted energy poverty regulated </w:t>
      </w:r>
      <w:r>
        <w:t xml:space="preserve">by </w:t>
      </w:r>
      <w:r w:rsidRPr="00232EC1">
        <w:t>social policy [</w:t>
      </w:r>
      <w:r w:rsidRPr="00232EC1">
        <w:rPr>
          <w:i/>
        </w:rPr>
        <w:t>i.e. outside scope of energy policy</w:t>
      </w:r>
      <w:r w:rsidRPr="00232EC1">
        <w:t xml:space="preserve">]: Nordics, Austria, Germany, Netherlands. </w:t>
      </w:r>
      <w:r>
        <w:t>On the other side were t</w:t>
      </w:r>
      <w:r w:rsidRPr="00232EC1">
        <w:t xml:space="preserve">hose who wanted </w:t>
      </w:r>
      <w:r>
        <w:t>to maintain price regulation as an option</w:t>
      </w:r>
      <w:r w:rsidRPr="00232EC1">
        <w:t>: France</w:t>
      </w:r>
      <w:r>
        <w:t xml:space="preserve">, </w:t>
      </w:r>
      <w:r w:rsidRPr="00232EC1">
        <w:t>Spain, Portugal, Greece</w:t>
      </w:r>
      <w:r>
        <w:t>, the UK, Belgium (to some degree)</w:t>
      </w:r>
      <w:r w:rsidR="00CE62EB">
        <w:t>,</w:t>
      </w:r>
      <w:r>
        <w:t xml:space="preserve"> and most but not </w:t>
      </w:r>
      <w:proofErr w:type="gramStart"/>
      <w:r>
        <w:t>all of</w:t>
      </w:r>
      <w:proofErr w:type="gramEnd"/>
      <w:r>
        <w:t xml:space="preserve"> the Central and Eastern European Countries (CEECs). Several CEECs argued for energy price regulations not only to alleviate energy poverty but as an option to mitigate imperfect competition in the retail market. </w:t>
      </w:r>
    </w:p>
    <w:p w14:paraId="3154E78B" w14:textId="0FB9360B" w:rsidR="00D74000" w:rsidRDefault="00D74000" w:rsidP="00D74000">
      <w:r>
        <w:t>The positions of the MS largely reflected the current use of price regulations.</w:t>
      </w:r>
      <w:r w:rsidRPr="00F4127A">
        <w:t xml:space="preserve"> For UK, </w:t>
      </w:r>
      <w:r>
        <w:t xml:space="preserve">to maintain the </w:t>
      </w:r>
      <w:r w:rsidRPr="00F4127A">
        <w:t>possibilit</w:t>
      </w:r>
      <w:r>
        <w:t xml:space="preserve">y </w:t>
      </w:r>
      <w:r w:rsidRPr="00F4127A">
        <w:t xml:space="preserve">to regulate prices was important since the country had just decided to </w:t>
      </w:r>
      <w:r>
        <w:t xml:space="preserve">implement </w:t>
      </w:r>
      <w:r w:rsidRPr="00F4127A">
        <w:t xml:space="preserve">price regulation. </w:t>
      </w:r>
      <w:r>
        <w:t xml:space="preserve">To a large extent, the positions on price regulation also reflected the level of energy poverty in the member states. </w:t>
      </w:r>
      <w:r w:rsidRPr="00232EC1">
        <w:t xml:space="preserve">Luxembourg </w:t>
      </w:r>
      <w:r>
        <w:t xml:space="preserve">here deviated most, taking the role as </w:t>
      </w:r>
      <w:r w:rsidRPr="00232EC1">
        <w:t xml:space="preserve">the strongest promoter of provisions on energy poverty </w:t>
      </w:r>
      <w:r>
        <w:t>(</w:t>
      </w:r>
      <w:r w:rsidRPr="00232EC1">
        <w:t xml:space="preserve">despite being </w:t>
      </w:r>
      <w:r>
        <w:t xml:space="preserve">the </w:t>
      </w:r>
      <w:r w:rsidRPr="00232EC1">
        <w:t>rich</w:t>
      </w:r>
      <w:r>
        <w:t>est</w:t>
      </w:r>
      <w:r w:rsidRPr="00232EC1">
        <w:t xml:space="preserve"> country</w:t>
      </w:r>
      <w:r w:rsidR="00142883">
        <w:t>!</w:t>
      </w:r>
      <w:r w:rsidRPr="00232EC1">
        <w:t>)</w:t>
      </w:r>
      <w:r>
        <w:t xml:space="preserve">, at the same time </w:t>
      </w:r>
      <w:r w:rsidRPr="00232EC1">
        <w:t>clear</w:t>
      </w:r>
      <w:r>
        <w:t xml:space="preserve">ly stating </w:t>
      </w:r>
      <w:r w:rsidRPr="00232EC1">
        <w:t xml:space="preserve">that the problem should be addressed without </w:t>
      </w:r>
      <w:r>
        <w:t xml:space="preserve">price </w:t>
      </w:r>
      <w:r w:rsidRPr="00232EC1">
        <w:t>intervention in the market</w:t>
      </w:r>
      <w:r>
        <w:t xml:space="preserve">. </w:t>
      </w:r>
    </w:p>
    <w:p w14:paraId="21438615" w14:textId="61FD1C03" w:rsidR="00D74000" w:rsidRPr="00351CC3" w:rsidRDefault="00D74000" w:rsidP="00D74000">
      <w:r>
        <w:t>The i</w:t>
      </w:r>
      <w:r w:rsidRPr="00351CC3">
        <w:t xml:space="preserve">nformal deal </w:t>
      </w:r>
      <w:r>
        <w:t xml:space="preserve">in the </w:t>
      </w:r>
      <w:r w:rsidRPr="00351CC3">
        <w:t xml:space="preserve">Council </w:t>
      </w:r>
      <w:r>
        <w:t>(General Approach</w:t>
      </w:r>
      <w:r w:rsidR="002966C8">
        <w:t xml:space="preserve"> agreed </w:t>
      </w:r>
      <w:r w:rsidR="00CE62EB">
        <w:t xml:space="preserve">in </w:t>
      </w:r>
      <w:r w:rsidR="002966C8">
        <w:t>December 2017</w:t>
      </w:r>
      <w:r>
        <w:t xml:space="preserve">) strongly linked </w:t>
      </w:r>
      <w:r w:rsidRPr="00351CC3">
        <w:t xml:space="preserve">the two issues and </w:t>
      </w:r>
      <w:r w:rsidR="002966C8">
        <w:t xml:space="preserve">reflected </w:t>
      </w:r>
      <w:r>
        <w:t xml:space="preserve">a compromise to avoid </w:t>
      </w:r>
      <w:r w:rsidRPr="00351CC3">
        <w:t>strong provisions on either of them</w:t>
      </w:r>
      <w:r w:rsidRPr="0064153A">
        <w:t>.</w:t>
      </w:r>
      <w:r>
        <w:t xml:space="preserve"> The </w:t>
      </w:r>
      <w:r>
        <w:t>Commission-proposed timeline for removing price regulation</w:t>
      </w:r>
      <w:r w:rsidR="008A3D2E">
        <w:t xml:space="preserve"> was scrapped</w:t>
      </w:r>
      <w:r>
        <w:t xml:space="preserve">. </w:t>
      </w:r>
    </w:p>
    <w:p w14:paraId="367B8B27" w14:textId="40F6AF2E" w:rsidR="00D74000" w:rsidRDefault="00D74000" w:rsidP="00D74000">
      <w:r w:rsidRPr="00F14B80">
        <w:t xml:space="preserve">The </w:t>
      </w:r>
      <w:r>
        <w:t xml:space="preserve">Parliament </w:t>
      </w:r>
      <w:r w:rsidRPr="00F14B80">
        <w:t xml:space="preserve">rapporteur initially supported the Commission </w:t>
      </w:r>
      <w:r>
        <w:t>pro</w:t>
      </w:r>
      <w:r w:rsidR="00CE62EB">
        <w:t xml:space="preserve">posal to </w:t>
      </w:r>
      <w:r>
        <w:t>remov</w:t>
      </w:r>
      <w:r w:rsidR="00CE62EB">
        <w:t>e</w:t>
      </w:r>
      <w:r>
        <w:t xml:space="preserve"> price regulations</w:t>
      </w:r>
      <w:r w:rsidRPr="00F14B80">
        <w:t xml:space="preserve">. </w:t>
      </w:r>
      <w:r w:rsidR="0031572F">
        <w:t>At the same time</w:t>
      </w:r>
      <w:r w:rsidRPr="00F14B80">
        <w:t xml:space="preserve">, the Parliament had </w:t>
      </w:r>
      <w:r w:rsidR="0031572F">
        <w:t xml:space="preserve">the fight against </w:t>
      </w:r>
      <w:r w:rsidRPr="00F14B80">
        <w:t xml:space="preserve">energy poverty </w:t>
      </w:r>
      <w:r w:rsidR="0031572F" w:rsidRPr="00F14B80">
        <w:t xml:space="preserve">as one of its main priorities </w:t>
      </w:r>
      <w:r w:rsidRPr="00F14B80">
        <w:t xml:space="preserve">and wanted </w:t>
      </w:r>
      <w:r w:rsidR="0031572F">
        <w:t xml:space="preserve">to give </w:t>
      </w:r>
      <w:r>
        <w:t xml:space="preserve">the EU </w:t>
      </w:r>
      <w:r w:rsidR="0031572F">
        <w:t xml:space="preserve">more power in </w:t>
      </w:r>
      <w:r w:rsidRPr="00F14B80">
        <w:t>set</w:t>
      </w:r>
      <w:r w:rsidR="0031572F">
        <w:t>ting</w:t>
      </w:r>
      <w:r w:rsidRPr="00F14B80">
        <w:t xml:space="preserve"> guidelines for energy poverty</w:t>
      </w:r>
      <w:r>
        <w:t xml:space="preserve"> measures in the Governance Regulation</w:t>
      </w:r>
      <w:r w:rsidRPr="00F14B80">
        <w:t>. The Parliament negotiators str</w:t>
      </w:r>
      <w:r w:rsidR="0031572F">
        <w:t>uc</w:t>
      </w:r>
      <w:r w:rsidRPr="00F14B80">
        <w:t xml:space="preserve">k a deal with the Council </w:t>
      </w:r>
      <w:r>
        <w:t xml:space="preserve">where the Parliament did not insist on the removal of </w:t>
      </w:r>
      <w:r w:rsidRPr="00F14B80">
        <w:t xml:space="preserve">price regulations in exchange for Council backing on </w:t>
      </w:r>
      <w:r>
        <w:t xml:space="preserve">EU </w:t>
      </w:r>
      <w:r w:rsidRPr="00F14B80">
        <w:t>guidelines for energy poverty</w:t>
      </w:r>
      <w:r>
        <w:t xml:space="preserve"> measures</w:t>
      </w:r>
      <w:r w:rsidRPr="00F14B80">
        <w:t>.</w:t>
      </w:r>
    </w:p>
    <w:p w14:paraId="3C96217F" w14:textId="6FBF119E" w:rsidR="00D74000" w:rsidRPr="00F87AC3" w:rsidRDefault="00D74000" w:rsidP="00D74000">
      <w:r>
        <w:t xml:space="preserve">External events </w:t>
      </w:r>
      <w:r w:rsidR="0031572F">
        <w:t xml:space="preserve">affected </w:t>
      </w:r>
      <w:r>
        <w:t xml:space="preserve">the negotiations. The </w:t>
      </w:r>
      <w:r w:rsidRPr="0008502E">
        <w:t>Yellow Vest</w:t>
      </w:r>
      <w:r>
        <w:t xml:space="preserve"> uprising against energy charges in France strengthened the conviction of France and others </w:t>
      </w:r>
      <w:r w:rsidR="008A3D2E">
        <w:t xml:space="preserve">that </w:t>
      </w:r>
      <w:r>
        <w:t>the opportunity to regulate prices</w:t>
      </w:r>
      <w:r w:rsidR="008A3D2E">
        <w:t xml:space="preserve"> should be maintained</w:t>
      </w:r>
      <w:r w:rsidRPr="00F87AC3">
        <w:t xml:space="preserve">.  </w:t>
      </w:r>
      <w:r>
        <w:t>The political atmosphere made the removal of price regulations difficult.</w:t>
      </w:r>
    </w:p>
    <w:p w14:paraId="668FE62B" w14:textId="77777777" w:rsidR="00D74000" w:rsidRDefault="00D74000" w:rsidP="00D74000">
      <w:pPr>
        <w:pStyle w:val="Overskrift2"/>
      </w:pPr>
      <w:r>
        <w:t>Assessing the outcome</w:t>
      </w:r>
    </w:p>
    <w:p w14:paraId="397DE214" w14:textId="2FB889A8" w:rsidR="00D74000" w:rsidRDefault="00D74000" w:rsidP="00D74000">
      <w:r>
        <w:t xml:space="preserve">The failure to remove price regulations represents a clear blow for the Commission’s efforts to accelerate </w:t>
      </w:r>
      <w:r w:rsidR="008A3D2E">
        <w:t>competitive pricing in EU retail markets</w:t>
      </w:r>
      <w:r>
        <w:t xml:space="preserve">. The outcome </w:t>
      </w:r>
      <w:r w:rsidR="000058BC">
        <w:t xml:space="preserve">is a reminder that many MS still do not </w:t>
      </w:r>
      <w:r w:rsidR="0031572F">
        <w:t xml:space="preserve">fully </w:t>
      </w:r>
      <w:r w:rsidR="000058BC">
        <w:t xml:space="preserve">subscribe to the idea of market-based steering of energy policy in Europe, to the great disappointment of </w:t>
      </w:r>
      <w:r>
        <w:t xml:space="preserve">the Commission. </w:t>
      </w:r>
      <w:r w:rsidR="0031572F">
        <w:t>Now t</w:t>
      </w:r>
      <w:r w:rsidRPr="00910896">
        <w:t xml:space="preserve">he Commission </w:t>
      </w:r>
      <w:r w:rsidR="0031572F">
        <w:t xml:space="preserve">will </w:t>
      </w:r>
      <w:r w:rsidRPr="00910896">
        <w:t xml:space="preserve">monitor price regulation </w:t>
      </w:r>
      <w:r w:rsidR="0031572F">
        <w:t xml:space="preserve">developments </w:t>
      </w:r>
      <w:r w:rsidRPr="00910896">
        <w:t xml:space="preserve">and come back </w:t>
      </w:r>
      <w:r>
        <w:t xml:space="preserve">with an assessment and possible new regulations </w:t>
      </w:r>
      <w:r w:rsidRPr="00910896">
        <w:t>in 2025.</w:t>
      </w:r>
      <w:r>
        <w:t xml:space="preserve"> </w:t>
      </w:r>
      <w:r w:rsidR="0031572F">
        <w:t>T</w:t>
      </w:r>
      <w:r w:rsidRPr="00F25ADE">
        <w:t>h</w:t>
      </w:r>
      <w:r w:rsidR="0031572F">
        <w:t>is</w:t>
      </w:r>
      <w:r w:rsidRPr="00F25ADE">
        <w:t xml:space="preserve"> outcome is </w:t>
      </w:r>
      <w:r>
        <w:t xml:space="preserve">regarded as </w:t>
      </w:r>
      <w:r w:rsidRPr="00F25ADE">
        <w:t xml:space="preserve">the best one could </w:t>
      </w:r>
      <w:r>
        <w:t>expect, given the political atmosphere</w:t>
      </w:r>
      <w:r w:rsidRPr="00F25ADE">
        <w:t xml:space="preserve">. </w:t>
      </w:r>
    </w:p>
    <w:p w14:paraId="1DCBACC3" w14:textId="6AAE9DF2" w:rsidR="008A3D2E" w:rsidRPr="0031572F" w:rsidRDefault="000058BC" w:rsidP="00D74000">
      <w:r>
        <w:t xml:space="preserve">Continued regulation of prices means that consumers will have less incentives to reduce demand and adapt consumption patterns to varying wholesale prices. </w:t>
      </w:r>
      <w:r w:rsidR="0031572F" w:rsidRPr="0031572F">
        <w:t xml:space="preserve">This may reduce the provision of flexibility </w:t>
      </w:r>
      <w:r w:rsidR="0031572F">
        <w:t xml:space="preserve">in the wholesale market and </w:t>
      </w:r>
      <w:r w:rsidR="00704E05">
        <w:t xml:space="preserve">increase </w:t>
      </w:r>
      <w:r w:rsidR="0031572F">
        <w:t>the value of flexibility from other sources, such as Norwegian hydro</w:t>
      </w:r>
      <w:r w:rsidR="00704E05">
        <w:t xml:space="preserve">. The </w:t>
      </w:r>
      <w:r w:rsidR="00C8466D">
        <w:t xml:space="preserve">effect is </w:t>
      </w:r>
      <w:r w:rsidR="00704E05">
        <w:t xml:space="preserve">however </w:t>
      </w:r>
      <w:r w:rsidR="00C8466D">
        <w:t xml:space="preserve">likely to be small. On the other hand, it could also be an early sign that </w:t>
      </w:r>
      <w:r w:rsidR="00704E05">
        <w:t xml:space="preserve">the development of </w:t>
      </w:r>
      <w:r w:rsidR="00C8466D">
        <w:t>a competitive</w:t>
      </w:r>
      <w:r w:rsidR="00704E05">
        <w:t xml:space="preserve">, integrated European </w:t>
      </w:r>
      <w:r w:rsidR="00C8466D">
        <w:t xml:space="preserve">electricity market must yield if it is perceived to be at odds with social and national policy concerns. </w:t>
      </w:r>
    </w:p>
    <w:p w14:paraId="26FFA39B" w14:textId="44914352" w:rsidR="00B110A5" w:rsidRDefault="0031572F" w:rsidP="00B110A5">
      <w:pPr>
        <w:pStyle w:val="Overskrift3"/>
      </w:pPr>
      <w:bookmarkStart w:id="2" w:name="_Toc386469676"/>
      <w:r>
        <w:t>Sources</w:t>
      </w:r>
    </w:p>
    <w:p w14:paraId="174953B1" w14:textId="408FDD91" w:rsidR="00B110A5" w:rsidRPr="0031572F" w:rsidRDefault="00B110A5" w:rsidP="00B110A5">
      <w:pPr>
        <w:rPr>
          <w:sz w:val="18"/>
        </w:rPr>
      </w:pPr>
      <w:r w:rsidRPr="0031572F">
        <w:rPr>
          <w:sz w:val="18"/>
        </w:rPr>
        <w:t>ACER (2014) ACER/CEER Annual Report on the Results of Monitoring the Internal Electricity and Natural Gas Markets in 2013</w:t>
      </w:r>
      <w:r w:rsidR="0031572F">
        <w:rPr>
          <w:sz w:val="18"/>
        </w:rPr>
        <w:t>.</w:t>
      </w:r>
    </w:p>
    <w:p w14:paraId="11828416" w14:textId="622FABFC" w:rsidR="00B110A5" w:rsidRPr="0031572F" w:rsidRDefault="00B110A5" w:rsidP="00B110A5">
      <w:pPr>
        <w:rPr>
          <w:sz w:val="18"/>
        </w:rPr>
      </w:pPr>
      <w:r w:rsidRPr="0031572F">
        <w:rPr>
          <w:sz w:val="18"/>
        </w:rPr>
        <w:t>Commission (2016) Proposal for a directive on common rules for the internal market in electricity, COM</w:t>
      </w:r>
      <w:r w:rsidR="00076014" w:rsidRPr="0031572F">
        <w:rPr>
          <w:sz w:val="18"/>
        </w:rPr>
        <w:t xml:space="preserve"> </w:t>
      </w:r>
      <w:r w:rsidRPr="0031572F">
        <w:rPr>
          <w:sz w:val="18"/>
        </w:rPr>
        <w:t>(2016) 864 final/2, Brussels, 23.2.2017</w:t>
      </w:r>
    </w:p>
    <w:p w14:paraId="72FC2712" w14:textId="6A33CAB5" w:rsidR="00B110A5" w:rsidRPr="0031572F" w:rsidRDefault="00076014" w:rsidP="00076014">
      <w:pPr>
        <w:rPr>
          <w:sz w:val="18"/>
        </w:rPr>
      </w:pPr>
      <w:r w:rsidRPr="0031572F">
        <w:rPr>
          <w:sz w:val="18"/>
        </w:rPr>
        <w:t>Council (2019) Proposal for a Directive of the European Parliament and of the Council on common rules for the internal market in electricity (recast) - Analysis of the final compromise text with a view to agreement, Brussels, 11 January 2019</w:t>
      </w:r>
      <w:r w:rsidR="0031572F">
        <w:rPr>
          <w:sz w:val="18"/>
        </w:rPr>
        <w:t>.</w:t>
      </w:r>
    </w:p>
    <w:p w14:paraId="4BF22C15" w14:textId="3D8A1AF5" w:rsidR="00B110A5" w:rsidRPr="0031572F" w:rsidRDefault="0031572F" w:rsidP="00B110A5">
      <w:pPr>
        <w:rPr>
          <w:sz w:val="18"/>
        </w:rPr>
      </w:pPr>
      <w:r>
        <w:rPr>
          <w:sz w:val="18"/>
        </w:rPr>
        <w:t>I</w:t>
      </w:r>
      <w:r w:rsidR="00076014" w:rsidRPr="0031572F">
        <w:rPr>
          <w:sz w:val="18"/>
        </w:rPr>
        <w:t xml:space="preserve">nterviews with representatives of the Commission, Council, European Parliament and stakeholder groups in February 2019.  </w:t>
      </w:r>
      <w:bookmarkEnd w:id="2"/>
      <w:bookmarkEnd w:id="1"/>
    </w:p>
    <w:sectPr w:rsidR="00B110A5" w:rsidRPr="0031572F" w:rsidSect="002C4CF3">
      <w:type w:val="continuous"/>
      <w:pgSz w:w="11906" w:h="16838"/>
      <w:pgMar w:top="1814" w:right="851" w:bottom="1418" w:left="851" w:header="709" w:footer="709"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6D067" w14:textId="77777777" w:rsidR="00610599" w:rsidRDefault="00610599" w:rsidP="009D390E">
      <w:pPr>
        <w:spacing w:line="240" w:lineRule="auto"/>
      </w:pPr>
      <w:r>
        <w:separator/>
      </w:r>
    </w:p>
  </w:endnote>
  <w:endnote w:type="continuationSeparator" w:id="0">
    <w:p w14:paraId="69029701" w14:textId="77777777" w:rsidR="00610599" w:rsidRDefault="00610599" w:rsidP="009D39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00E09" w14:textId="77777777" w:rsidR="000637CE" w:rsidRDefault="000637C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791A1" w14:textId="5D438B0D" w:rsidR="00736778" w:rsidRPr="002C4CF3" w:rsidRDefault="00D448C0" w:rsidP="000637CE">
    <w:pPr>
      <w:pStyle w:val="Tabelltekst"/>
      <w:tabs>
        <w:tab w:val="right" w:pos="10204"/>
      </w:tabs>
    </w:pPr>
    <w:r w:rsidRPr="002C4CF3">
      <w:rPr>
        <w:noProof/>
        <w:lang w:val="nb-NO" w:eastAsia="nb-NO"/>
      </w:rPr>
      <mc:AlternateContent>
        <mc:Choice Requires="wps">
          <w:drawing>
            <wp:anchor distT="0" distB="0" distL="114300" distR="114300" simplePos="0" relativeHeight="251657216" behindDoc="0" locked="0" layoutInCell="1" allowOverlap="1" wp14:anchorId="188674BA" wp14:editId="7938BF96">
              <wp:simplePos x="0" y="0"/>
              <wp:positionH relativeFrom="margin">
                <wp:posOffset>-36584</wp:posOffset>
              </wp:positionH>
              <wp:positionV relativeFrom="page">
                <wp:posOffset>9945370</wp:posOffset>
              </wp:positionV>
              <wp:extent cx="6566535" cy="0"/>
              <wp:effectExtent l="0" t="0" r="2476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6535" cy="0"/>
                      </a:xfrm>
                      <a:prstGeom prst="straightConnector1">
                        <a:avLst/>
                      </a:prstGeom>
                      <a:noFill/>
                      <a:ln w="14351" cap="rnd">
                        <a:solidFill>
                          <a:schemeClr val="bg1">
                            <a:lumMod val="8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F4084E" id="_x0000_t32" coordsize="21600,21600" o:spt="32" o:oned="t" path="m,l21600,21600e" filled="f">
              <v:path arrowok="t" fillok="f" o:connecttype="none"/>
              <o:lock v:ext="edit" shapetype="t"/>
            </v:shapetype>
            <v:shape id="AutoShape 15" o:spid="_x0000_s1026" type="#_x0000_t32" style="position:absolute;margin-left:-2.9pt;margin-top:783.1pt;width:517.05pt;height:0;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" strokecolor="#d8d8d8 [2732]" strokeweight="1.13pt">
              <v:stroke endcap="round"/>
              <w10:wrap anchorx="margin" anchory="page"/>
            </v:shape>
          </w:pict>
        </mc:Fallback>
      </mc:AlternateContent>
    </w:r>
    <w:hyperlink r:id="rId1" w:history="1">
      <w:r w:rsidR="004C5A16" w:rsidRPr="002C4CF3">
        <w:rPr>
          <w:rStyle w:val="Hyperkobling"/>
          <w:color w:val="7F7F7F" w:themeColor="text1" w:themeTint="80"/>
        </w:rPr>
        <w:t>www.thema.no</w:t>
      </w:r>
    </w:hyperlink>
    <w:r w:rsidR="00736778" w:rsidRPr="002C4CF3">
      <w:tab/>
    </w:r>
    <w:r w:rsidR="00E865EF" w:rsidRPr="002C4CF3">
      <w:rPr>
        <w:rFonts w:cstheme="majorHAnsi"/>
      </w:rPr>
      <w:t>©</w:t>
    </w:r>
    <w:r w:rsidR="004C5A16" w:rsidRPr="002C4CF3">
      <w:rPr>
        <w:rFonts w:cstheme="majorHAnsi"/>
      </w:rPr>
      <w:t xml:space="preserve"> </w:t>
    </w:r>
    <w:r w:rsidR="00E865EF" w:rsidRPr="002C4CF3">
      <w:rPr>
        <w:rFonts w:cstheme="majorHAnsi"/>
      </w:rPr>
      <w:t>201</w:t>
    </w:r>
    <w:r w:rsidR="00E81607">
      <w:rPr>
        <w:rFonts w:cstheme="majorHAnsi"/>
      </w:rPr>
      <w:t>9</w:t>
    </w:r>
    <w:r w:rsidR="00736778" w:rsidRPr="002C4CF3">
      <w:rPr>
        <w:rFonts w:cstheme="majorHAnsi"/>
      </w:rPr>
      <w:t xml:space="preserve"> THEMA Consulting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C0C48" w14:textId="77777777" w:rsidR="000637CE" w:rsidRDefault="000637C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C165" w14:textId="77777777" w:rsidR="00610599" w:rsidRDefault="00610599" w:rsidP="009D390E">
      <w:pPr>
        <w:spacing w:line="240" w:lineRule="auto"/>
      </w:pPr>
      <w:r>
        <w:separator/>
      </w:r>
    </w:p>
  </w:footnote>
  <w:footnote w:type="continuationSeparator" w:id="0">
    <w:p w14:paraId="185C7BFB" w14:textId="77777777" w:rsidR="00610599" w:rsidRDefault="00610599" w:rsidP="009D39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76970" w14:textId="77777777" w:rsidR="000637CE" w:rsidRDefault="000637C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CCB6" w14:textId="65DE7349" w:rsidR="00736778" w:rsidRDefault="00682B5D" w:rsidP="0097606F">
    <w:pPr>
      <w:pStyle w:val="Tabelltekst"/>
    </w:pPr>
    <w:r>
      <w:rPr>
        <w:noProof/>
      </w:rPr>
      <w:drawing>
        <wp:anchor distT="0" distB="0" distL="114300" distR="114300" simplePos="0" relativeHeight="251673600" behindDoc="1" locked="0" layoutInCell="1" allowOverlap="1" wp14:anchorId="4B308D78" wp14:editId="0781E30C">
          <wp:simplePos x="0" y="0"/>
          <wp:positionH relativeFrom="margin">
            <wp:align>center</wp:align>
          </wp:positionH>
          <wp:positionV relativeFrom="paragraph">
            <wp:posOffset>-95218</wp:posOffset>
          </wp:positionV>
          <wp:extent cx="2649541" cy="482813"/>
          <wp:effectExtent l="0" t="0" r="0" b="0"/>
          <wp:wrapTight wrapText="bothSides">
            <wp:wrapPolygon edited="0">
              <wp:start x="0" y="0"/>
              <wp:lineTo x="0" y="20463"/>
              <wp:lineTo x="21434" y="20463"/>
              <wp:lineTo x="21434"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i-logo1.jpg"/>
                  <pic:cNvPicPr/>
                </pic:nvPicPr>
                <pic:blipFill>
                  <a:blip r:embed="rId1">
                    <a:extLst>
                      <a:ext uri="{28A0092B-C50C-407E-A947-70E740481C1C}">
                        <a14:useLocalDpi xmlns:a14="http://schemas.microsoft.com/office/drawing/2010/main" val="0"/>
                      </a:ext>
                    </a:extLst>
                  </a:blip>
                  <a:stretch>
                    <a:fillRect/>
                  </a:stretch>
                </pic:blipFill>
                <pic:spPr>
                  <a:xfrm>
                    <a:off x="0" y="0"/>
                    <a:ext cx="2649541" cy="482813"/>
                  </a:xfrm>
                  <a:prstGeom prst="rect">
                    <a:avLst/>
                  </a:prstGeom>
                </pic:spPr>
              </pic:pic>
            </a:graphicData>
          </a:graphic>
          <wp14:sizeRelH relativeFrom="margin">
            <wp14:pctWidth>0</wp14:pctWidth>
          </wp14:sizeRelH>
          <wp14:sizeRelV relativeFrom="margin">
            <wp14:pctHeight>0</wp14:pctHeight>
          </wp14:sizeRelV>
        </wp:anchor>
      </w:drawing>
    </w:r>
    <w:r w:rsidR="0097606F" w:rsidRPr="00254F82">
      <w:rPr>
        <w:noProof/>
        <w:lang w:val="nb-NO" w:eastAsia="nb-NO"/>
      </w:rPr>
      <w:drawing>
        <wp:anchor distT="0" distB="0" distL="114300" distR="114300" simplePos="0" relativeHeight="251672576" behindDoc="0" locked="0" layoutInCell="1" allowOverlap="1" wp14:anchorId="637846CE" wp14:editId="18413477">
          <wp:simplePos x="0" y="0"/>
          <wp:positionH relativeFrom="margin">
            <wp:posOffset>5241290</wp:posOffset>
          </wp:positionH>
          <wp:positionV relativeFrom="paragraph">
            <wp:posOffset>-12946</wp:posOffset>
          </wp:positionV>
          <wp:extent cx="1229995" cy="314325"/>
          <wp:effectExtent l="0" t="0" r="8255" b="9525"/>
          <wp:wrapNone/>
          <wp:docPr id="3" name="Picture 3" descr="G:\THEMA\Administrasjon\Web&amp;Logo\Logo\Without_Background\the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EMA\Administrasjon\Web&amp;Logo\Logo\Without_Background\thema_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995" cy="314325"/>
                  </a:xfrm>
                  <a:prstGeom prst="rect">
                    <a:avLst/>
                  </a:prstGeom>
                  <a:noFill/>
                  <a:ln>
                    <a:noFill/>
                  </a:ln>
                </pic:spPr>
              </pic:pic>
            </a:graphicData>
          </a:graphic>
        </wp:anchor>
      </w:drawing>
    </w:r>
    <w:r w:rsidR="00AD5EC2">
      <w:t>REMAP</w:t>
    </w:r>
    <w:r w:rsidR="0097606F" w:rsidRPr="00AD3F3C">
      <w:t xml:space="preserve"> Insight </w:t>
    </w:r>
    <w:r w:rsidR="00F458B3">
      <w:t>2</w:t>
    </w:r>
    <w:r w:rsidR="0097606F" w:rsidRPr="00AD3F3C">
      <w:t>-201</w:t>
    </w:r>
    <w:r w:rsidR="00E81607">
      <w:t>9</w:t>
    </w:r>
  </w:p>
  <w:p w14:paraId="44F91D89" w14:textId="77777777" w:rsidR="00E81607" w:rsidRPr="00547E0D" w:rsidRDefault="00E81607" w:rsidP="0097606F">
    <w:pPr>
      <w:pStyle w:val="Tabell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80413" w14:textId="77777777" w:rsidR="000637CE" w:rsidRDefault="000637C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023A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920D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76DB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4276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AA236E"/>
    <w:lvl w:ilvl="0">
      <w:start w:val="1"/>
      <w:numFmt w:val="bullet"/>
      <w:lvlText w:val=""/>
      <w:lvlJc w:val="left"/>
      <w:pPr>
        <w:ind w:left="1494" w:hanging="360"/>
      </w:pPr>
      <w:rPr>
        <w:rFonts w:ascii="Symbol" w:hAnsi="Symbol" w:hint="default"/>
      </w:rPr>
    </w:lvl>
  </w:abstractNum>
  <w:abstractNum w:abstractNumId="5" w15:restartNumberingAfterBreak="0">
    <w:nsid w:val="FFFFFF81"/>
    <w:multiLevelType w:val="singleLevel"/>
    <w:tmpl w:val="B8144C26"/>
    <w:lvl w:ilvl="0">
      <w:start w:val="1"/>
      <w:numFmt w:val="bullet"/>
      <w:lvlText w:val=""/>
      <w:lvlJc w:val="left"/>
      <w:pPr>
        <w:ind w:left="1211" w:hanging="360"/>
      </w:pPr>
      <w:rPr>
        <w:rFonts w:ascii="Wingdings" w:hAnsi="Wingdings" w:hint="default"/>
      </w:rPr>
    </w:lvl>
  </w:abstractNum>
  <w:abstractNum w:abstractNumId="6" w15:restartNumberingAfterBreak="0">
    <w:nsid w:val="FFFFFF82"/>
    <w:multiLevelType w:val="singleLevel"/>
    <w:tmpl w:val="1D5A6596"/>
    <w:lvl w:ilvl="0">
      <w:start w:val="1"/>
      <w:numFmt w:val="bullet"/>
      <w:lvlText w:val=""/>
      <w:lvlJc w:val="left"/>
      <w:pPr>
        <w:ind w:left="1040" w:hanging="360"/>
      </w:pPr>
      <w:rPr>
        <w:rFonts w:ascii="Symbol" w:hAnsi="Symbol" w:hint="default"/>
      </w:rPr>
    </w:lvl>
  </w:abstractNum>
  <w:abstractNum w:abstractNumId="7" w15:restartNumberingAfterBreak="0">
    <w:nsid w:val="FFFFFF83"/>
    <w:multiLevelType w:val="singleLevel"/>
    <w:tmpl w:val="87C03E3E"/>
    <w:lvl w:ilvl="0">
      <w:start w:val="1"/>
      <w:numFmt w:val="bullet"/>
      <w:lvlText w:val="o"/>
      <w:lvlJc w:val="left"/>
      <w:pPr>
        <w:ind w:left="700" w:hanging="360"/>
      </w:pPr>
      <w:rPr>
        <w:rFonts w:ascii="Courier New" w:hAnsi="Courier New" w:cs="Courier New" w:hint="default"/>
      </w:rPr>
    </w:lvl>
  </w:abstractNum>
  <w:abstractNum w:abstractNumId="8" w15:restartNumberingAfterBreak="0">
    <w:nsid w:val="FFFFFF88"/>
    <w:multiLevelType w:val="singleLevel"/>
    <w:tmpl w:val="282EB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DA226E"/>
    <w:lvl w:ilvl="0">
      <w:start w:val="1"/>
      <w:numFmt w:val="bullet"/>
      <w:pStyle w:val="Punktliste"/>
      <w:lvlText w:val=""/>
      <w:lvlJc w:val="left"/>
      <w:pPr>
        <w:ind w:left="360" w:hanging="360"/>
      </w:pPr>
      <w:rPr>
        <w:rFonts w:ascii="Wingdings" w:hAnsi="Wingdings" w:hint="default"/>
      </w:rPr>
    </w:lvl>
  </w:abstractNum>
  <w:abstractNum w:abstractNumId="10" w15:restartNumberingAfterBreak="0">
    <w:nsid w:val="01DD2F7F"/>
    <w:multiLevelType w:val="hybridMultilevel"/>
    <w:tmpl w:val="710C760E"/>
    <w:lvl w:ilvl="0" w:tplc="88440216">
      <w:start w:val="1"/>
      <w:numFmt w:val="bullet"/>
      <w:pStyle w:val="Punktliste3"/>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A37D8D"/>
    <w:multiLevelType w:val="hybridMultilevel"/>
    <w:tmpl w:val="C8E23F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152109"/>
    <w:multiLevelType w:val="hybridMultilevel"/>
    <w:tmpl w:val="5F4C765A"/>
    <w:lvl w:ilvl="0" w:tplc="EE76BF80">
      <w:start w:val="1"/>
      <w:numFmt w:val="bullet"/>
      <w:pStyle w:val="Punktliste2"/>
      <w:lvlText w:val="o"/>
      <w:lvlJc w:val="left"/>
      <w:pPr>
        <w:ind w:left="1060" w:hanging="360"/>
      </w:pPr>
      <w:rPr>
        <w:rFonts w:ascii="Courier New" w:hAnsi="Courier New" w:cs="Courier New"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13" w15:restartNumberingAfterBreak="0">
    <w:nsid w:val="572A1FED"/>
    <w:multiLevelType w:val="hybridMultilevel"/>
    <w:tmpl w:val="BCFCADE8"/>
    <w:lvl w:ilvl="0" w:tplc="327C2092">
      <w:start w:val="1"/>
      <w:numFmt w:val="bullet"/>
      <w:pStyle w:val="Punktliste4"/>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F883AFA"/>
    <w:multiLevelType w:val="hybridMultilevel"/>
    <w:tmpl w:val="55644882"/>
    <w:lvl w:ilvl="0" w:tplc="012405FE">
      <w:start w:val="1"/>
      <w:numFmt w:val="bullet"/>
      <w:pStyle w:val="Punktliste5"/>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12"/>
  </w:num>
  <w:num w:numId="18">
    <w:abstractNumId w:val="10"/>
  </w:num>
  <w:num w:numId="19">
    <w:abstractNumId w:val="13"/>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drawingGridHorizontalSpacing w:val="100"/>
  <w:displayHorizontalDrawingGridEvery w:val="2"/>
  <w:characterSpacingControl w:val="doNotCompress"/>
  <w:hdrShapeDefaults>
    <o:shapedefaults v:ext="edit" spidmax="6145" fillcolor="#b6dde8" stroke="f">
      <v:fill color="#b6dde8"/>
      <v:stroke on="f"/>
      <v:textbox style="mso-rotate-with-shape:t"/>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9B"/>
    <w:rsid w:val="000058BC"/>
    <w:rsid w:val="00010192"/>
    <w:rsid w:val="0003072C"/>
    <w:rsid w:val="00033613"/>
    <w:rsid w:val="000466D5"/>
    <w:rsid w:val="00063433"/>
    <w:rsid w:val="000637CE"/>
    <w:rsid w:val="00064809"/>
    <w:rsid w:val="00076014"/>
    <w:rsid w:val="000E4DB9"/>
    <w:rsid w:val="00142883"/>
    <w:rsid w:val="00162F22"/>
    <w:rsid w:val="00164AB7"/>
    <w:rsid w:val="001B7556"/>
    <w:rsid w:val="00254F82"/>
    <w:rsid w:val="002608CD"/>
    <w:rsid w:val="0029475E"/>
    <w:rsid w:val="002966C8"/>
    <w:rsid w:val="002C4CF3"/>
    <w:rsid w:val="002D406F"/>
    <w:rsid w:val="002D5866"/>
    <w:rsid w:val="00312DE3"/>
    <w:rsid w:val="0031572F"/>
    <w:rsid w:val="0032305F"/>
    <w:rsid w:val="00331BEB"/>
    <w:rsid w:val="003655C9"/>
    <w:rsid w:val="003A4325"/>
    <w:rsid w:val="003A7DD2"/>
    <w:rsid w:val="003D0D3E"/>
    <w:rsid w:val="003E3936"/>
    <w:rsid w:val="004044CE"/>
    <w:rsid w:val="00410E0F"/>
    <w:rsid w:val="004265F1"/>
    <w:rsid w:val="00497638"/>
    <w:rsid w:val="004C5A16"/>
    <w:rsid w:val="004E3046"/>
    <w:rsid w:val="004F009C"/>
    <w:rsid w:val="0050752A"/>
    <w:rsid w:val="00547E0D"/>
    <w:rsid w:val="00564BE1"/>
    <w:rsid w:val="00572212"/>
    <w:rsid w:val="0058209B"/>
    <w:rsid w:val="005B1F05"/>
    <w:rsid w:val="005D5C4D"/>
    <w:rsid w:val="005E455D"/>
    <w:rsid w:val="00610599"/>
    <w:rsid w:val="00682B5D"/>
    <w:rsid w:val="006939EC"/>
    <w:rsid w:val="00704E05"/>
    <w:rsid w:val="00723565"/>
    <w:rsid w:val="00736778"/>
    <w:rsid w:val="00777D8C"/>
    <w:rsid w:val="007870A5"/>
    <w:rsid w:val="007B17AA"/>
    <w:rsid w:val="007D4A9D"/>
    <w:rsid w:val="007D7E1F"/>
    <w:rsid w:val="00841103"/>
    <w:rsid w:val="00892253"/>
    <w:rsid w:val="008A0109"/>
    <w:rsid w:val="008A3D2E"/>
    <w:rsid w:val="008B526F"/>
    <w:rsid w:val="008F0948"/>
    <w:rsid w:val="0097606F"/>
    <w:rsid w:val="009A16A7"/>
    <w:rsid w:val="009C1BEE"/>
    <w:rsid w:val="009D390E"/>
    <w:rsid w:val="00A42A29"/>
    <w:rsid w:val="00A44B0A"/>
    <w:rsid w:val="00A50B0B"/>
    <w:rsid w:val="00A52D5E"/>
    <w:rsid w:val="00A549F8"/>
    <w:rsid w:val="00A6009A"/>
    <w:rsid w:val="00A807AC"/>
    <w:rsid w:val="00AC4740"/>
    <w:rsid w:val="00AD41F2"/>
    <w:rsid w:val="00AD5EC2"/>
    <w:rsid w:val="00AE1E26"/>
    <w:rsid w:val="00B018F1"/>
    <w:rsid w:val="00B110A5"/>
    <w:rsid w:val="00B4028F"/>
    <w:rsid w:val="00B51230"/>
    <w:rsid w:val="00B52B6C"/>
    <w:rsid w:val="00B91D04"/>
    <w:rsid w:val="00BB7573"/>
    <w:rsid w:val="00BD53E7"/>
    <w:rsid w:val="00C36E30"/>
    <w:rsid w:val="00C40246"/>
    <w:rsid w:val="00C8466D"/>
    <w:rsid w:val="00CB2955"/>
    <w:rsid w:val="00CD4478"/>
    <w:rsid w:val="00CE62EB"/>
    <w:rsid w:val="00CF77BB"/>
    <w:rsid w:val="00D448C0"/>
    <w:rsid w:val="00D57441"/>
    <w:rsid w:val="00D74000"/>
    <w:rsid w:val="00D74CEF"/>
    <w:rsid w:val="00DA372B"/>
    <w:rsid w:val="00E02E9B"/>
    <w:rsid w:val="00E06DED"/>
    <w:rsid w:val="00E238BD"/>
    <w:rsid w:val="00E2396C"/>
    <w:rsid w:val="00E713DC"/>
    <w:rsid w:val="00E81607"/>
    <w:rsid w:val="00E865EF"/>
    <w:rsid w:val="00E92761"/>
    <w:rsid w:val="00EE62F2"/>
    <w:rsid w:val="00F07F3C"/>
    <w:rsid w:val="00F166E1"/>
    <w:rsid w:val="00F33BE2"/>
    <w:rsid w:val="00F458B3"/>
    <w:rsid w:val="00F752CF"/>
    <w:rsid w:val="00FA70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fillcolor="#b6dde8" stroke="f">
      <v:fill color="#b6dde8"/>
      <v:stroke on="f"/>
      <v:textbox style="mso-rotate-with-shape:t"/>
    </o:shapedefaults>
    <o:shapelayout v:ext="edit">
      <o:idmap v:ext="edit" data="1"/>
    </o:shapelayout>
  </w:shapeDefaults>
  <w:decimalSymbol w:val=","/>
  <w:listSeparator w:val=";"/>
  <w14:docId w14:val="2EDC14AD"/>
  <w15:docId w15:val="{FC2A989B-C0B5-4A70-9B89-36E0817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lang w:val="nb-NO" w:eastAsia="en-US" w:bidi="ar-SA"/>
      </w:rPr>
    </w:rPrDefault>
    <w:pPrDefault>
      <w:pPr>
        <w:spacing w:before="120"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DB9"/>
    <w:rPr>
      <w:color w:val="404040" w:themeColor="text1" w:themeTint="BF"/>
      <w:lang w:val="en-GB"/>
    </w:rPr>
  </w:style>
  <w:style w:type="paragraph" w:styleId="Overskrift1">
    <w:name w:val="heading 1"/>
    <w:basedOn w:val="Normal"/>
    <w:next w:val="Normal"/>
    <w:link w:val="Overskrift1Tegn"/>
    <w:uiPriority w:val="9"/>
    <w:qFormat/>
    <w:rsid w:val="003655C9"/>
    <w:pPr>
      <w:keepNext/>
      <w:keepLines/>
      <w:spacing w:before="240"/>
      <w:outlineLvl w:val="0"/>
    </w:pPr>
    <w:rPr>
      <w:rFonts w:asciiTheme="majorHAnsi" w:eastAsiaTheme="majorEastAsia" w:hAnsiTheme="majorHAnsi" w:cstheme="majorBidi"/>
      <w:b/>
      <w:bCs/>
      <w:color w:val="407579" w:themeColor="accent4"/>
      <w:sz w:val="32"/>
      <w:szCs w:val="28"/>
    </w:rPr>
  </w:style>
  <w:style w:type="paragraph" w:styleId="Overskrift2">
    <w:name w:val="heading 2"/>
    <w:basedOn w:val="Normal"/>
    <w:next w:val="Normal"/>
    <w:link w:val="Overskrift2Tegn"/>
    <w:uiPriority w:val="9"/>
    <w:qFormat/>
    <w:rsid w:val="00063433"/>
    <w:pPr>
      <w:keepNext/>
      <w:keepLines/>
      <w:spacing w:after="60"/>
      <w:outlineLvl w:val="1"/>
    </w:pPr>
    <w:rPr>
      <w:rFonts w:asciiTheme="majorHAnsi" w:eastAsiaTheme="majorEastAsia" w:hAnsiTheme="majorHAnsi" w:cstheme="majorBidi"/>
      <w:b/>
      <w:bCs/>
      <w:color w:val="407579" w:themeColor="accent4"/>
      <w:sz w:val="22"/>
      <w:szCs w:val="26"/>
    </w:rPr>
  </w:style>
  <w:style w:type="paragraph" w:styleId="Overskrift3">
    <w:name w:val="heading 3"/>
    <w:basedOn w:val="Normal"/>
    <w:next w:val="Normal"/>
    <w:link w:val="Overskrift3Tegn"/>
    <w:uiPriority w:val="9"/>
    <w:qFormat/>
    <w:rsid w:val="00063433"/>
    <w:pPr>
      <w:keepNext/>
      <w:keepLines/>
      <w:outlineLvl w:val="2"/>
    </w:pPr>
    <w:rPr>
      <w:rFonts w:eastAsiaTheme="majorEastAsia" w:cstheme="majorBidi"/>
      <w:color w:val="407579" w:themeColor="accent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Punktliste">
    <w:name w:val="List Bullet"/>
    <w:basedOn w:val="Normal"/>
    <w:uiPriority w:val="9"/>
    <w:qFormat/>
    <w:rsid w:val="006939EC"/>
    <w:pPr>
      <w:numPr>
        <w:numId w:val="1"/>
      </w:numPr>
      <w:spacing w:before="60" w:after="60" w:line="240" w:lineRule="auto"/>
      <w:ind w:left="142" w:hanging="139"/>
      <w:jc w:val="left"/>
    </w:pPr>
    <w:rPr>
      <w:rFonts w:asciiTheme="minorHAnsi" w:eastAsia="Times" w:hAnsiTheme="minorHAnsi" w:cs="Times New Roman"/>
    </w:rPr>
  </w:style>
  <w:style w:type="paragraph" w:styleId="Punktliste2">
    <w:name w:val="List Bullet 2"/>
    <w:basedOn w:val="Normal"/>
    <w:uiPriority w:val="9"/>
    <w:qFormat/>
    <w:rsid w:val="006939EC"/>
    <w:pPr>
      <w:numPr>
        <w:numId w:val="17"/>
      </w:numPr>
      <w:spacing w:before="60" w:after="60" w:line="240" w:lineRule="auto"/>
      <w:ind w:left="284" w:hanging="142"/>
      <w:jc w:val="left"/>
    </w:pPr>
    <w:rPr>
      <w:rFonts w:asciiTheme="minorHAnsi" w:eastAsia="Times" w:hAnsiTheme="minorHAnsi" w:cs="Times New Roman"/>
    </w:rPr>
  </w:style>
  <w:style w:type="paragraph" w:styleId="Tittel">
    <w:name w:val="Title"/>
    <w:basedOn w:val="Normal"/>
    <w:next w:val="Normal"/>
    <w:link w:val="TittelTegn"/>
    <w:uiPriority w:val="10"/>
    <w:semiHidden/>
    <w:qFormat/>
    <w:rsid w:val="005B1F05"/>
    <w:pPr>
      <w:spacing w:after="40" w:line="240" w:lineRule="auto"/>
      <w:contextualSpacing/>
    </w:pPr>
    <w:rPr>
      <w:rFonts w:asciiTheme="majorHAnsi" w:eastAsiaTheme="majorEastAsia" w:hAnsiTheme="majorHAnsi" w:cstheme="majorBidi"/>
      <w:b/>
      <w:spacing w:val="5"/>
      <w:kern w:val="28"/>
      <w:sz w:val="36"/>
      <w:szCs w:val="52"/>
    </w:rPr>
  </w:style>
  <w:style w:type="character" w:customStyle="1" w:styleId="TittelTegn">
    <w:name w:val="Tittel Tegn"/>
    <w:basedOn w:val="Standardskriftforavsnitt"/>
    <w:link w:val="Tittel"/>
    <w:uiPriority w:val="10"/>
    <w:semiHidden/>
    <w:rsid w:val="00B52B6C"/>
    <w:rPr>
      <w:rFonts w:asciiTheme="majorHAnsi" w:eastAsiaTheme="majorEastAsia" w:hAnsiTheme="majorHAnsi" w:cstheme="majorBidi"/>
      <w:b/>
      <w:spacing w:val="5"/>
      <w:kern w:val="28"/>
      <w:sz w:val="36"/>
      <w:szCs w:val="52"/>
      <w:lang w:val="en-US"/>
    </w:rPr>
  </w:style>
  <w:style w:type="paragraph" w:styleId="Hilsen">
    <w:name w:val="Closing"/>
    <w:basedOn w:val="Normal"/>
    <w:link w:val="HilsenTegn"/>
    <w:uiPriority w:val="99"/>
    <w:semiHidden/>
    <w:rsid w:val="003A7DD2"/>
  </w:style>
  <w:style w:type="character" w:customStyle="1" w:styleId="HilsenTegn">
    <w:name w:val="Hilsen Tegn"/>
    <w:basedOn w:val="Standardskriftforavsnitt"/>
    <w:link w:val="Hilsen"/>
    <w:uiPriority w:val="99"/>
    <w:semiHidden/>
    <w:rsid w:val="008A0109"/>
    <w:rPr>
      <w:color w:val="58585A"/>
      <w:sz w:val="20"/>
    </w:rPr>
  </w:style>
  <w:style w:type="paragraph" w:styleId="Konvoluttadresse">
    <w:name w:val="envelope address"/>
    <w:basedOn w:val="Normal"/>
    <w:uiPriority w:val="99"/>
    <w:semiHidden/>
    <w:rsid w:val="003A7DD2"/>
    <w:pPr>
      <w:framePr w:w="7920" w:h="1980" w:hRule="exact" w:hSpace="141" w:wrap="auto" w:hAnchor="page" w:xAlign="center" w:yAlign="bottom"/>
    </w:pPr>
    <w:rPr>
      <w:rFonts w:asciiTheme="majorHAnsi" w:eastAsiaTheme="majorEastAsia" w:hAnsiTheme="majorHAnsi" w:cstheme="majorBidi"/>
      <w:sz w:val="24"/>
      <w:szCs w:val="24"/>
    </w:rPr>
  </w:style>
  <w:style w:type="paragraph" w:styleId="Brdtekst">
    <w:name w:val="Body Text"/>
    <w:basedOn w:val="Normal"/>
    <w:link w:val="BrdtekstTegn"/>
    <w:uiPriority w:val="99"/>
    <w:semiHidden/>
    <w:rsid w:val="003A7DD2"/>
  </w:style>
  <w:style w:type="character" w:customStyle="1" w:styleId="BrdtekstTegn">
    <w:name w:val="Brødtekst Tegn"/>
    <w:basedOn w:val="Standardskriftforavsnitt"/>
    <w:link w:val="Brdtekst"/>
    <w:uiPriority w:val="99"/>
    <w:semiHidden/>
    <w:rsid w:val="008A0109"/>
    <w:rPr>
      <w:color w:val="58585A"/>
      <w:sz w:val="20"/>
    </w:rPr>
  </w:style>
  <w:style w:type="paragraph" w:styleId="Topptekst">
    <w:name w:val="header"/>
    <w:basedOn w:val="Normal"/>
    <w:link w:val="TopptekstTegn"/>
    <w:uiPriority w:val="99"/>
    <w:semiHidden/>
    <w:rsid w:val="009D390E"/>
    <w:pPr>
      <w:tabs>
        <w:tab w:val="center" w:pos="4536"/>
        <w:tab w:val="right" w:pos="9072"/>
      </w:tabs>
      <w:spacing w:line="240" w:lineRule="auto"/>
    </w:pPr>
  </w:style>
  <w:style w:type="character" w:customStyle="1" w:styleId="TopptekstTegn">
    <w:name w:val="Topptekst Tegn"/>
    <w:basedOn w:val="Standardskriftforavsnitt"/>
    <w:link w:val="Topptekst"/>
    <w:uiPriority w:val="99"/>
    <w:semiHidden/>
    <w:rsid w:val="008A0109"/>
    <w:rPr>
      <w:color w:val="58585A"/>
      <w:sz w:val="20"/>
    </w:rPr>
  </w:style>
  <w:style w:type="paragraph" w:styleId="Bunntekst">
    <w:name w:val="footer"/>
    <w:basedOn w:val="Normal"/>
    <w:link w:val="BunntekstTegn"/>
    <w:uiPriority w:val="99"/>
    <w:semiHidden/>
    <w:rsid w:val="00736778"/>
    <w:pPr>
      <w:tabs>
        <w:tab w:val="right" w:pos="10319"/>
      </w:tabs>
      <w:spacing w:line="240" w:lineRule="auto"/>
    </w:pPr>
  </w:style>
  <w:style w:type="character" w:customStyle="1" w:styleId="BunntekstTegn">
    <w:name w:val="Bunntekst Tegn"/>
    <w:basedOn w:val="Standardskriftforavsnitt"/>
    <w:link w:val="Bunntekst"/>
    <w:uiPriority w:val="99"/>
    <w:semiHidden/>
    <w:rsid w:val="008A0109"/>
    <w:rPr>
      <w:color w:val="58585A"/>
      <w:sz w:val="20"/>
    </w:rPr>
  </w:style>
  <w:style w:type="character" w:customStyle="1" w:styleId="Overskrift1Tegn">
    <w:name w:val="Overskrift 1 Tegn"/>
    <w:basedOn w:val="Standardskriftforavsnitt"/>
    <w:link w:val="Overskrift1"/>
    <w:uiPriority w:val="9"/>
    <w:rsid w:val="003655C9"/>
    <w:rPr>
      <w:rFonts w:asciiTheme="majorHAnsi" w:eastAsiaTheme="majorEastAsia" w:hAnsiTheme="majorHAnsi" w:cstheme="majorBidi"/>
      <w:b/>
      <w:bCs/>
      <w:color w:val="407579" w:themeColor="accent4"/>
      <w:sz w:val="32"/>
      <w:szCs w:val="28"/>
    </w:rPr>
  </w:style>
  <w:style w:type="paragraph" w:customStyle="1" w:styleId="Ingress">
    <w:name w:val="Ingress"/>
    <w:basedOn w:val="Normal"/>
    <w:qFormat/>
    <w:rsid w:val="00063433"/>
    <w:rPr>
      <w:b/>
      <w:i/>
      <w:color w:val="407579" w:themeColor="accent4"/>
      <w:sz w:val="22"/>
    </w:rPr>
  </w:style>
  <w:style w:type="character" w:customStyle="1" w:styleId="Overskrift2Tegn">
    <w:name w:val="Overskrift 2 Tegn"/>
    <w:basedOn w:val="Standardskriftforavsnitt"/>
    <w:link w:val="Overskrift2"/>
    <w:uiPriority w:val="9"/>
    <w:rsid w:val="00063433"/>
    <w:rPr>
      <w:rFonts w:asciiTheme="majorHAnsi" w:eastAsiaTheme="majorEastAsia" w:hAnsiTheme="majorHAnsi" w:cstheme="majorBidi"/>
      <w:b/>
      <w:bCs/>
      <w:color w:val="407579" w:themeColor="accent4"/>
      <w:szCs w:val="26"/>
      <w:lang w:val="en-US"/>
    </w:rPr>
  </w:style>
  <w:style w:type="character" w:styleId="Plassholdertekst">
    <w:name w:val="Placeholder Text"/>
    <w:basedOn w:val="Standardskriftforavsnitt"/>
    <w:uiPriority w:val="99"/>
    <w:semiHidden/>
    <w:rsid w:val="004F009C"/>
    <w:rPr>
      <w:color w:val="808080"/>
    </w:rPr>
  </w:style>
  <w:style w:type="paragraph" w:styleId="Bobletekst">
    <w:name w:val="Balloon Text"/>
    <w:basedOn w:val="Normal"/>
    <w:link w:val="BobletekstTegn"/>
    <w:uiPriority w:val="99"/>
    <w:semiHidden/>
    <w:unhideWhenUsed/>
    <w:rsid w:val="004F009C"/>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F009C"/>
    <w:rPr>
      <w:rFonts w:ascii="Tahoma" w:hAnsi="Tahoma" w:cs="Tahoma"/>
      <w:sz w:val="16"/>
      <w:szCs w:val="16"/>
    </w:rPr>
  </w:style>
  <w:style w:type="paragraph" w:styleId="Bildetekst">
    <w:name w:val="caption"/>
    <w:basedOn w:val="Normal"/>
    <w:next w:val="Normal"/>
    <w:uiPriority w:val="35"/>
    <w:qFormat/>
    <w:rsid w:val="00E92761"/>
    <w:pPr>
      <w:spacing w:after="60" w:line="240" w:lineRule="auto"/>
    </w:pPr>
    <w:rPr>
      <w:bCs/>
      <w:i/>
      <w:color w:val="7F7F7F" w:themeColor="text1" w:themeTint="80"/>
      <w:sz w:val="18"/>
      <w:szCs w:val="18"/>
    </w:rPr>
  </w:style>
  <w:style w:type="table" w:customStyle="1" w:styleId="TCGTable">
    <w:name w:val="TCG Table"/>
    <w:basedOn w:val="Vanligtabell"/>
    <w:uiPriority w:val="99"/>
    <w:qFormat/>
    <w:rsid w:val="00A6009A"/>
    <w:pPr>
      <w:spacing w:after="0" w:line="240" w:lineRule="auto"/>
    </w:pPr>
    <w:rPr>
      <w:rFonts w:ascii="Arial" w:eastAsia="Times" w:hAnsi="Arial" w:cs="Times New Roman"/>
      <w:sz w:val="24"/>
      <w:szCs w:val="24"/>
      <w:lang w:val="en-US"/>
    </w:rPr>
    <w:tblPr>
      <w:tblInd w:w="91" w:type="dxa"/>
    </w:tblPr>
    <w:tblStylePr w:type="firstRow">
      <w:tblPr/>
      <w:tcPr>
        <w:tcBorders>
          <w:bottom w:val="single" w:sz="4" w:space="0" w:color="auto"/>
        </w:tcBorders>
      </w:tcPr>
    </w:tblStylePr>
    <w:tblStylePr w:type="lastRow">
      <w:tblPr/>
      <w:tcPr>
        <w:tcBorders>
          <w:top w:val="single" w:sz="4" w:space="0" w:color="auto"/>
          <w:left w:val="nil"/>
          <w:bottom w:val="nil"/>
          <w:right w:val="nil"/>
          <w:insideH w:val="nil"/>
          <w:insideV w:val="nil"/>
        </w:tcBorders>
      </w:tcPr>
    </w:tblStylePr>
  </w:style>
  <w:style w:type="table" w:styleId="Tabellrutenett">
    <w:name w:val="Table Grid"/>
    <w:aliases w:val="THEMA tabell1"/>
    <w:basedOn w:val="Vanligtabell"/>
    <w:uiPriority w:val="59"/>
    <w:rsid w:val="00A60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qFormat/>
    <w:rsid w:val="00162F22"/>
    <w:pPr>
      <w:spacing w:before="480" w:after="0"/>
      <w:outlineLvl w:val="9"/>
    </w:pPr>
    <w:rPr>
      <w:lang w:eastAsia="ja-JP"/>
    </w:rPr>
  </w:style>
  <w:style w:type="paragraph" w:styleId="Punktliste3">
    <w:name w:val="List Bullet 3"/>
    <w:basedOn w:val="Normal"/>
    <w:uiPriority w:val="9"/>
    <w:qFormat/>
    <w:rsid w:val="006939EC"/>
    <w:pPr>
      <w:numPr>
        <w:numId w:val="18"/>
      </w:numPr>
      <w:spacing w:before="60" w:after="60" w:line="240" w:lineRule="auto"/>
      <w:ind w:left="426" w:hanging="142"/>
      <w:jc w:val="left"/>
    </w:pPr>
    <w:rPr>
      <w:rFonts w:asciiTheme="minorHAnsi" w:eastAsia="Times" w:hAnsiTheme="minorHAnsi" w:cs="Times New Roman"/>
    </w:rPr>
  </w:style>
  <w:style w:type="character" w:styleId="Hyperkobling">
    <w:name w:val="Hyperlink"/>
    <w:basedOn w:val="Standardskriftforavsnitt"/>
    <w:uiPriority w:val="99"/>
    <w:rsid w:val="00162F22"/>
    <w:rPr>
      <w:color w:val="646464" w:themeColor="hyperlink"/>
      <w:u w:val="single"/>
    </w:rPr>
  </w:style>
  <w:style w:type="paragraph" w:styleId="Punktliste4">
    <w:name w:val="List Bullet 4"/>
    <w:basedOn w:val="Normal"/>
    <w:uiPriority w:val="9"/>
    <w:qFormat/>
    <w:rsid w:val="006939EC"/>
    <w:pPr>
      <w:numPr>
        <w:numId w:val="19"/>
      </w:numPr>
      <w:spacing w:before="60" w:after="60" w:line="240" w:lineRule="auto"/>
      <w:ind w:left="567" w:hanging="204"/>
      <w:jc w:val="left"/>
    </w:pPr>
    <w:rPr>
      <w:rFonts w:asciiTheme="minorHAnsi" w:eastAsia="Times" w:hAnsiTheme="minorHAnsi" w:cs="Times New Roman"/>
    </w:rPr>
  </w:style>
  <w:style w:type="paragraph" w:styleId="Punktliste5">
    <w:name w:val="List Bullet 5"/>
    <w:basedOn w:val="Normal"/>
    <w:uiPriority w:val="9"/>
    <w:qFormat/>
    <w:rsid w:val="006939EC"/>
    <w:pPr>
      <w:numPr>
        <w:numId w:val="20"/>
      </w:numPr>
      <w:spacing w:before="60" w:after="60" w:line="240" w:lineRule="auto"/>
      <w:ind w:hanging="153"/>
      <w:jc w:val="left"/>
    </w:pPr>
    <w:rPr>
      <w:rFonts w:asciiTheme="minorHAnsi" w:eastAsia="Times" w:hAnsiTheme="minorHAnsi" w:cs="Times New Roman"/>
    </w:rPr>
  </w:style>
  <w:style w:type="character" w:customStyle="1" w:styleId="Overskrift3Tegn">
    <w:name w:val="Overskrift 3 Tegn"/>
    <w:basedOn w:val="Standardskriftforavsnitt"/>
    <w:link w:val="Overskrift3"/>
    <w:uiPriority w:val="9"/>
    <w:rsid w:val="00B52B6C"/>
    <w:rPr>
      <w:rFonts w:eastAsiaTheme="majorEastAsia" w:cstheme="majorBidi"/>
      <w:color w:val="407579" w:themeColor="accent4"/>
      <w:sz w:val="20"/>
      <w:szCs w:val="24"/>
      <w:lang w:val="en-US"/>
    </w:rPr>
  </w:style>
  <w:style w:type="paragraph" w:customStyle="1" w:styleId="Tabelltekst">
    <w:name w:val="Tabelltekst"/>
    <w:basedOn w:val="Normal"/>
    <w:qFormat/>
    <w:rsid w:val="00E92761"/>
    <w:pPr>
      <w:keepNext/>
      <w:spacing w:before="0" w:after="0" w:line="240" w:lineRule="auto"/>
      <w:jc w:val="left"/>
    </w:pPr>
    <w:rPr>
      <w:rFonts w:eastAsia="Times New Roman" w:cs="Arial"/>
      <w:color w:val="7F7F7F" w:themeColor="text1" w:themeTint="80"/>
      <w:sz w:val="18"/>
      <w:szCs w:val="24"/>
    </w:rPr>
  </w:style>
  <w:style w:type="character" w:styleId="Merknadsreferanse">
    <w:name w:val="annotation reference"/>
    <w:basedOn w:val="Standardskriftforavsnitt"/>
    <w:uiPriority w:val="99"/>
    <w:semiHidden/>
    <w:unhideWhenUsed/>
    <w:rsid w:val="00D74000"/>
    <w:rPr>
      <w:sz w:val="16"/>
      <w:szCs w:val="16"/>
    </w:rPr>
  </w:style>
  <w:style w:type="paragraph" w:styleId="Merknadstekst">
    <w:name w:val="annotation text"/>
    <w:basedOn w:val="Normal"/>
    <w:link w:val="MerknadstekstTegn"/>
    <w:uiPriority w:val="99"/>
    <w:semiHidden/>
    <w:unhideWhenUsed/>
    <w:rsid w:val="00D74000"/>
    <w:pPr>
      <w:spacing w:before="0" w:after="160" w:line="240" w:lineRule="auto"/>
      <w:jc w:val="left"/>
    </w:pPr>
    <w:rPr>
      <w:rFonts w:asciiTheme="minorHAnsi" w:hAnsiTheme="minorHAnsi"/>
      <w:color w:val="auto"/>
      <w:lang w:val="nb-NO"/>
    </w:rPr>
  </w:style>
  <w:style w:type="character" w:customStyle="1" w:styleId="MerknadstekstTegn">
    <w:name w:val="Merknadstekst Tegn"/>
    <w:basedOn w:val="Standardskriftforavsnitt"/>
    <w:link w:val="Merknadstekst"/>
    <w:uiPriority w:val="99"/>
    <w:semiHidden/>
    <w:rsid w:val="00D74000"/>
    <w:rPr>
      <w:rFonts w:asciiTheme="minorHAnsi" w:hAnsiTheme="minorHAnsi"/>
    </w:rPr>
  </w:style>
  <w:style w:type="paragraph" w:styleId="Listeavsnitt">
    <w:name w:val="List Paragraph"/>
    <w:basedOn w:val="Normal"/>
    <w:uiPriority w:val="34"/>
    <w:qFormat/>
    <w:rsid w:val="00D74000"/>
    <w:pPr>
      <w:spacing w:before="0" w:after="160" w:line="259" w:lineRule="auto"/>
      <w:ind w:left="720"/>
      <w:contextualSpacing/>
      <w:jc w:val="left"/>
    </w:pPr>
    <w:rPr>
      <w:rFonts w:asciiTheme="minorHAnsi" w:hAnsiTheme="minorHAnsi"/>
      <w:color w:val="auto"/>
      <w:sz w:val="22"/>
      <w:szCs w:val="22"/>
      <w:lang w:val="nb-NO"/>
    </w:rPr>
  </w:style>
  <w:style w:type="paragraph" w:styleId="Kommentaremne">
    <w:name w:val="annotation subject"/>
    <w:basedOn w:val="Merknadstekst"/>
    <w:next w:val="Merknadstekst"/>
    <w:link w:val="KommentaremneTegn"/>
    <w:uiPriority w:val="99"/>
    <w:semiHidden/>
    <w:unhideWhenUsed/>
    <w:rsid w:val="00AD5EC2"/>
    <w:pPr>
      <w:spacing w:before="120" w:after="120"/>
      <w:jc w:val="both"/>
    </w:pPr>
    <w:rPr>
      <w:rFonts w:ascii="Arial Narrow" w:hAnsi="Arial Narrow"/>
      <w:b/>
      <w:bCs/>
      <w:color w:val="404040" w:themeColor="text1" w:themeTint="BF"/>
      <w:lang w:val="en-GB"/>
    </w:rPr>
  </w:style>
  <w:style w:type="character" w:customStyle="1" w:styleId="KommentaremneTegn">
    <w:name w:val="Kommentaremne Tegn"/>
    <w:basedOn w:val="MerknadstekstTegn"/>
    <w:link w:val="Kommentaremne"/>
    <w:uiPriority w:val="99"/>
    <w:semiHidden/>
    <w:rsid w:val="00AD5EC2"/>
    <w:rPr>
      <w:rFonts w:asciiTheme="minorHAnsi" w:hAnsiTheme="minorHAnsi"/>
      <w:b/>
      <w:bCs/>
      <w:color w:val="404040" w:themeColor="text1" w:themeTint="BF"/>
      <w:lang w:val="en-GB"/>
    </w:rPr>
  </w:style>
  <w:style w:type="character" w:styleId="Ulstomtale">
    <w:name w:val="Unresolved Mention"/>
    <w:basedOn w:val="Standardskriftforavsnitt"/>
    <w:uiPriority w:val="99"/>
    <w:semiHidden/>
    <w:unhideWhenUsed/>
    <w:rsid w:val="0006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ma.n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hema Consulting Group">
      <a:dk1>
        <a:sysClr val="windowText" lastClr="000000"/>
      </a:dk1>
      <a:lt1>
        <a:sysClr val="window" lastClr="FFFFFF"/>
      </a:lt1>
      <a:dk2>
        <a:srgbClr val="1D4016"/>
      </a:dk2>
      <a:lt2>
        <a:srgbClr val="EEECE1"/>
      </a:lt2>
      <a:accent1>
        <a:srgbClr val="FFCC33"/>
      </a:accent1>
      <a:accent2>
        <a:srgbClr val="72892E"/>
      </a:accent2>
      <a:accent3>
        <a:srgbClr val="71ADB5"/>
      </a:accent3>
      <a:accent4>
        <a:srgbClr val="407579"/>
      </a:accent4>
      <a:accent5>
        <a:srgbClr val="1F515A"/>
      </a:accent5>
      <a:accent6>
        <a:srgbClr val="1D4016"/>
      </a:accent6>
      <a:hlink>
        <a:srgbClr val="646464"/>
      </a:hlink>
      <a:folHlink>
        <a:srgbClr val="646464"/>
      </a:folHlink>
    </a:clrScheme>
    <a:fontScheme name="Thema Consulting Group">
      <a:majorFont>
        <a:latin typeface="Arial"/>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1DCF6-4AFC-4603-99AA-00E445C66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1510</Words>
  <Characters>8008</Characters>
  <Application>Microsoft Office Word</Application>
  <DocSecurity>4</DocSecurity>
  <Lines>66</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Thema Consulting Group</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Tennbakk</dc:creator>
  <dc:description>Template by addpoint.no</dc:description>
  <cp:lastModifiedBy>Karoline Hægstad Flåm</cp:lastModifiedBy>
  <cp:revision>2</cp:revision>
  <cp:lastPrinted>2015-06-26T08:34:00Z</cp:lastPrinted>
  <dcterms:created xsi:type="dcterms:W3CDTF">2019-04-23T13:32:00Z</dcterms:created>
  <dcterms:modified xsi:type="dcterms:W3CDTF">2019-04-23T13:32:00Z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